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/>
    <w:p>
      <w:pPr>
        <w:jc w:val="center"/>
      </w:pPr>
      <w:r>
        <w:rPr>
          <w:b/>
          <w:color w:val="00788C"/>
          <w:sz w:val="28"/>
        </w:rPr>
        <w:t>BlueSim Training Guide</w:t>
      </w:r>
    </w:p>
    <w:p>
      <w:pPr>
        <w:jc w:val="center"/>
      </w:pPr>
      <w:r>
        <w:rPr>
          <w:b/>
          <w:sz w:val="48"/>
        </w:rPr>
        <w:t>Liquid Hydrogen Cargo Tanker Simulator</w:t>
      </w:r>
    </w:p>
    <w:p>
      <w:pPr>
        <w:jc w:val="center"/>
      </w:pPr>
      <w:r>
        <w:rPr>
          <w:color w:val="646464"/>
          <w:sz w:val="24"/>
        </w:rPr>
        <w:t>Cargo Simulators</w:t>
      </w:r>
    </w:p>
    <w:p>
      <w:pPr>
        <w:jc w:val="center"/>
      </w:pPr>
      <w:r>
        <w:rPr>
          <w:color w:val="505050"/>
          <w:sz w:val="20"/>
        </w:rPr>
        <w:t>160,000 m³ LH₂ tanker at −253°C — IGC Code Ch.15, IMO CCC 11. Vacuum-insulated tanks, ortho-para converter, BOG routing, and ultra-deep cryogenic operations.</w:t>
      </w:r>
    </w:p>
    <w:p>
      <w:r>
        <w:br w:type="page"/>
      </w:r>
    </w:p>
    <w:p>
      <w:pPr>
        <w:pStyle w:val="Heading1"/>
      </w:pPr>
      <w:r>
        <w:t>1. Display Requirements</w:t>
      </w:r>
    </w:p>
    <w:tbl>
      <w:tblPr>
        <w:tblStyle w:val="LightGrid-Accent1"/>
        <w:tblW w:type="auto" w:w="0"/>
        <w:jc w:val="left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Optimal Resolution</w:t>
            </w:r>
          </w:p>
        </w:tc>
        <w:tc>
          <w:tcPr>
            <w:tcW w:type="dxa" w:w="4320"/>
          </w:tcPr>
          <w:p>
            <w:r>
              <w:t>1920 x 1080 (Full HD)</w:t>
            </w:r>
          </w:p>
        </w:tc>
      </w:tr>
      <w:tr>
        <w:tc>
          <w:tcPr>
            <w:tcW w:type="dxa" w:w="4320"/>
          </w:tcPr>
          <w:p>
            <w:r>
              <w:t>Minimum Resolution</w:t>
            </w:r>
          </w:p>
        </w:tc>
        <w:tc>
          <w:tcPr>
            <w:tcW w:type="dxa" w:w="4320"/>
          </w:tcPr>
          <w:p>
            <w:r>
              <w:t>1366 x 768</w:t>
            </w:r>
          </w:p>
        </w:tc>
      </w:tr>
      <w:tr>
        <w:tc>
          <w:tcPr>
            <w:tcW w:type="dxa" w:w="4320"/>
          </w:tcPr>
          <w:p>
            <w:r>
              <w:t>Aspect Ratio</w:t>
            </w:r>
          </w:p>
        </w:tc>
        <w:tc>
          <w:tcPr>
            <w:tcW w:type="dxa" w:w="4320"/>
          </w:tcPr>
          <w:p>
            <w:r>
              <w:t>16:9 (recommended) or 16:10</w:t>
            </w:r>
          </w:p>
        </w:tc>
      </w:tr>
      <w:tr>
        <w:tc>
          <w:tcPr>
            <w:tcW w:type="dxa" w:w="4320"/>
          </w:tcPr>
          <w:p>
            <w:r>
              <w:t>Browser</w:t>
            </w:r>
          </w:p>
        </w:tc>
        <w:tc>
          <w:tcPr>
            <w:tcW w:type="dxa" w:w="4320"/>
          </w:tcPr>
          <w:p>
            <w:r>
              <w:t>Chrome 90+, Firefox 90+, Edge 90+ (fullscreen recommended)</w:t>
            </w:r>
          </w:p>
        </w:tc>
      </w:tr>
      <w:tr>
        <w:tc>
          <w:tcPr>
            <w:tcW w:type="dxa" w:w="4320"/>
          </w:tcPr>
          <w:p>
            <w:r>
              <w:t>Input</w:t>
            </w:r>
          </w:p>
        </w:tc>
        <w:tc>
          <w:tcPr>
            <w:tcW w:type="dxa" w:w="4320"/>
          </w:tcPr>
          <w:p>
            <w:r>
              <w:t>Mouse + keyboard (touchscreen not supported)</w:t>
            </w:r>
          </w:p>
        </w:tc>
      </w:tr>
    </w:tbl>
    <w:p/>
    <w:p>
      <w:r>
        <w:rPr>
          <w:b/>
        </w:rPr>
        <w:t xml:space="preserve">Note: </w:t>
      </w:r>
      <w:r>
        <w:t>The simulator is designed for desktop use. On screens below 980 x 600 px, a "Screen Too Small" notice will appear. For the best experience, press F11 for fullscreen mode after launching the simulator.</w:t>
      </w:r>
    </w:p>
    <w:p>
      <w:pPr>
        <w:pStyle w:val="Heading1"/>
      </w:pPr>
      <w:r>
        <w:t>2. Simulator Overview</w:t>
      </w:r>
    </w:p>
    <w:p>
      <w:r>
        <w:t>160,000 m³ LH₂ tanker at −253°C — IGC Code Ch.15, IMO CCC 11. Vacuum-insulated tanks, ortho-para converter, BOG routing, and ultra-deep cryogenic operations.</w:t>
      </w:r>
    </w:p>
    <w:p>
      <w:pPr>
        <w:pStyle w:val="Heading2"/>
      </w:pPr>
      <w:r>
        <w:t>Key Features</w:t>
      </w:r>
    </w:p>
    <w:p>
      <w:pPr>
        <w:pStyle w:val="ListBullet"/>
      </w:pPr>
      <w:r>
        <w:t>Vacuum jacket integrity (µPa), BOG re-liquefaction vs ship fuel vs vent.</w:t>
      </w:r>
    </w:p>
    <w:p>
      <w:pPr>
        <w:pStyle w:val="ListBullet"/>
      </w:pPr>
      <w:r>
        <w:t>Emergency: vacuum loss, overpressure, H₂ manifold leak, relief valve.</w:t>
      </w:r>
    </w:p>
    <w:p>
      <w:pPr>
        <w:pStyle w:val="Heading1"/>
      </w:pPr>
      <w:r>
        <w:t>3. Interface Layout</w:t>
      </w:r>
    </w:p>
    <w:p>
      <w:r>
        <w:t>The simulator uses a multi-panel layout with the following regions: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b/>
              </w:rPr>
              <w:t>Panel</w:t>
            </w:r>
          </w:p>
        </w:tc>
        <w:tc>
          <w:tcPr>
            <w:tcW w:type="dxa" w:w="4320"/>
          </w:tcPr>
          <w:p>
            <w:r>
              <w:rPr>
                <w:b/>
              </w:rPr>
              <w:t>Purpose</w:t>
            </w:r>
          </w:p>
        </w:tc>
      </w:tr>
      <w:tr>
        <w:tc>
          <w:tcPr>
            <w:tcW w:type="dxa" w:w="4320"/>
          </w:tcPr>
          <w:p>
            <w:r>
              <w:t>EXIT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LH₂ CRYOGENIC SYSTEM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P&amp;ID — LH₂ VACUUM-INSULATED TANK SYSTEM (IGC CH.15)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ALARM MANAGEMENT — IGC CODE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GAS DETECTION — H₂ %LEL (LEL: 4%) + VACUUM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BOG ROUTING / SCENARIO / TREND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H₂ UNIQUE HAZARDS / FIRE DETECTION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</w:tbl>
    <w:p/>
    <w:p>
      <w:r>
        <w:rPr>
          <w:b/>
        </w:rPr>
        <w:t xml:space="preserve">Header Bar: </w:t>
      </w:r>
      <w:r>
        <w:t>Shows simulator title, regulatory reference, live clock, fullscreen toggle, and exit button.</w:t>
      </w:r>
    </w:p>
    <w:p>
      <w:r>
        <w:rPr>
          <w:b/>
        </w:rPr>
        <w:t xml:space="preserve">Left Panel: </w:t>
      </w:r>
      <w:r>
        <w:t>System gauges, valve controls, and operational parameters.</w:t>
      </w:r>
    </w:p>
    <w:p>
      <w:r>
        <w:rPr>
          <w:b/>
        </w:rPr>
        <w:t xml:space="preserve">Center Panel: </w:t>
      </w:r>
      <w:r>
        <w:t>P&amp;ID schematic or main visual display (canvas/SVG).</w:t>
      </w:r>
    </w:p>
    <w:p>
      <w:r>
        <w:rPr>
          <w:b/>
        </w:rPr>
        <w:t xml:space="preserve">Right Panel: </w:t>
      </w:r>
      <w:r>
        <w:t>Alarm management, emergency controls, and scenario buttons.</w:t>
      </w:r>
    </w:p>
    <w:p>
      <w:r>
        <w:rPr>
          <w:b/>
        </w:rPr>
        <w:t xml:space="preserve">Bottom Panels: </w:t>
      </w:r>
      <w:r>
        <w:t>Trend charts, gas detection, scenario checklists, and supplementary data.</w:t>
      </w:r>
    </w:p>
    <w:p>
      <w:pPr>
        <w:pStyle w:val="Heading1"/>
      </w:pPr>
      <w:r>
        <w:t>4. System Components</w:t>
      </w:r>
    </w:p>
    <w:p>
      <w:pPr>
        <w:pStyle w:val="Heading2"/>
      </w:pPr>
      <w:r>
        <w:t>4.1 Gauges &amp; Indicators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b/>
              </w:rPr>
              <w:t>Parameter</w:t>
            </w:r>
          </w:p>
        </w:tc>
        <w:tc>
          <w:tcPr>
            <w:tcW w:type="dxa" w:w="4320"/>
          </w:tcPr>
          <w:p>
            <w:r>
              <w:rPr>
                <w:b/>
              </w:rPr>
              <w:t>Unit</w:t>
            </w:r>
          </w:p>
        </w:tc>
      </w:tr>
      <w:tr>
        <w:tc>
          <w:tcPr>
            <w:tcW w:type="dxa" w:w="4320"/>
          </w:tcPr>
          <w:p>
            <w:r>
              <w:t>Tank Temperature</w:t>
            </w:r>
          </w:p>
        </w:tc>
        <w:tc>
          <w:tcPr>
            <w:tcW w:type="dxa" w:w="4320"/>
          </w:tcPr>
          <w:p>
            <w:r>
              <w:t>°C</w:t>
            </w:r>
          </w:p>
        </w:tc>
      </w:tr>
      <w:tr>
        <w:tc>
          <w:tcPr>
            <w:tcW w:type="dxa" w:w="4320"/>
          </w:tcPr>
          <w:p>
            <w:r>
              <w:t>Tank Pressure</w:t>
            </w:r>
          </w:p>
        </w:tc>
        <w:tc>
          <w:tcPr>
            <w:tcW w:type="dxa" w:w="4320"/>
          </w:tcPr>
          <w:p>
            <w:r>
              <w:t>bar abs</w:t>
            </w:r>
          </w:p>
        </w:tc>
      </w:tr>
      <w:tr>
        <w:tc>
          <w:tcPr>
            <w:tcW w:type="dxa" w:w="4320"/>
          </w:tcPr>
          <w:p>
            <w:r>
              <w:t>LH₂ Level</w:t>
            </w:r>
          </w:p>
        </w:tc>
        <w:tc>
          <w:tcPr>
            <w:tcW w:type="dxa" w:w="4320"/>
          </w:tcPr>
          <w:p>
            <w:r>
              <w:t>%</w:t>
            </w:r>
          </w:p>
        </w:tc>
      </w:tr>
      <w:tr>
        <w:tc>
          <w:tcPr>
            <w:tcW w:type="dxa" w:w="4320"/>
          </w:tcPr>
          <w:p>
            <w:r>
              <w:t>BOG Rate</w:t>
            </w:r>
          </w:p>
        </w:tc>
        <w:tc>
          <w:tcPr>
            <w:tcW w:type="dxa" w:w="4320"/>
          </w:tcPr>
          <w:p>
            <w:r>
              <w:t>%/day</w:t>
            </w:r>
          </w:p>
        </w:tc>
      </w:tr>
      <w:tr>
        <w:tc>
          <w:tcPr>
            <w:tcW w:type="dxa" w:w="4320"/>
          </w:tcPr>
          <w:p>
            <w:r>
              <w:t>Vacuum Jacket</w:t>
            </w:r>
          </w:p>
        </w:tc>
        <w:tc>
          <w:tcPr>
            <w:tcW w:type="dxa" w:w="4320"/>
          </w:tcPr>
          <w:p>
            <w:r>
              <w:t>µPa</w:t>
            </w:r>
          </w:p>
        </w:tc>
      </w:tr>
    </w:tbl>
    <w:p/>
    <w:p>
      <w:r>
        <w:rPr>
          <w:b/>
        </w:rPr>
        <w:t xml:space="preserve">Colour coding: </w:t>
      </w:r>
      <w:r>
        <w:t>Green = normal, Amber = warning, Red (blinking) = alarm.</w:t>
      </w:r>
    </w:p>
    <w:p>
      <w:pPr>
        <w:pStyle w:val="Heading2"/>
      </w:pPr>
      <w:r>
        <w:t>4.2 Valve Controls</w:t>
      </w:r>
    </w:p>
    <w:p>
      <w:r>
        <w:t>Click a valve button to toggle its state. Valve states are colour-coded:</w:t>
      </w:r>
    </w:p>
    <w:p>
      <w:r>
        <w:rPr>
          <w:b/>
        </w:rPr>
        <w:t xml:space="preserve">Green: </w:t>
      </w:r>
      <w:r>
        <w:t>OPEN</w:t>
      </w:r>
    </w:p>
    <w:p>
      <w:r>
        <w:rPr>
          <w:b/>
        </w:rPr>
        <w:t xml:space="preserve">Red: </w:t>
      </w:r>
      <w:r>
        <w:t>CLOSED</w:t>
      </w:r>
    </w:p>
    <w:p>
      <w:r>
        <w:rPr>
          <w:b/>
        </w:rPr>
        <w:t xml:space="preserve">Amber: </w:t>
      </w:r>
      <w:r>
        <w:t>TRANSITIONING</w:t>
      </w:r>
    </w:p>
    <w:p/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</w:tcPr>
          <w:p>
            <w:r>
              <w:rPr>
                <w:b/>
              </w:rPr>
              <w:t>Valve Name</w:t>
            </w:r>
          </w:p>
        </w:tc>
      </w:tr>
      <w:tr>
        <w:tc>
          <w:tcPr>
            <w:tcW w:type="dxa" w:w="8640"/>
          </w:tcPr>
          <w:p>
            <w:r>
              <w:t>BOG COMP: OFF</w:t>
            </w:r>
          </w:p>
        </w:tc>
      </w:tr>
      <w:tr>
        <w:tc>
          <w:tcPr>
            <w:tcW w:type="dxa" w:w="8640"/>
          </w:tcPr>
          <w:p>
            <w:r>
              <w:t>RECOND: OFF</w:t>
            </w:r>
          </w:p>
        </w:tc>
      </w:tr>
      <w:tr>
        <w:tc>
          <w:tcPr>
            <w:tcW w:type="dxa" w:w="8640"/>
          </w:tcPr>
          <w:p>
            <w:r>
              <w:t>RECOM: SBY</w:t>
            </w:r>
          </w:p>
        </w:tc>
      </w:tr>
      <w:tr>
        <w:tc>
          <w:tcPr>
            <w:tcW w:type="dxa" w:w="8640"/>
          </w:tcPr>
          <w:p>
            <w:r>
              <w:t>INERT PURGE: OFF</w:t>
            </w:r>
          </w:p>
        </w:tc>
      </w:tr>
      <w:tr>
        <w:tc>
          <w:tcPr>
            <w:tcW w:type="dxa" w:w="8640"/>
          </w:tcPr>
          <w:p>
            <w:r>
              <w:t>${lbl}</w:t>
            </w:r>
          </w:p>
        </w:tc>
      </w:tr>
      <w:tr>
        <w:tc>
          <w:tcPr>
            <w:tcW w:type="dxa" w:w="8640"/>
          </w:tcPr>
          <w:p>
            <w:r>
              <w:t>`</w:t>
            </w:r>
          </w:p>
        </w:tc>
      </w:tr>
      <w:tr>
        <w:tc>
          <w:tcPr>
            <w:tcW w:type="dxa" w:w="8640"/>
          </w:tcPr>
          <w:p>
            <w:r>
              <w:t>${v.label}</w:t>
            </w:r>
          </w:p>
        </w:tc>
      </w:tr>
      <w:tr>
        <w:tc>
          <w:tcPr>
            <w:tcW w:type="dxa" w:w="8640"/>
          </w:tcPr>
          <w:p>
            <w:r>
              <w:t>m\u00b3/h</w:t>
            </w:r>
          </w:p>
        </w:tc>
      </w:tr>
    </w:tbl>
    <w:p>
      <w:pPr>
        <w:pStyle w:val="Heading2"/>
      </w:pPr>
      <w:r>
        <w:t>4.3 Alarm Definitions</w:t>
      </w:r>
    </w:p>
    <w:p>
      <w:r>
        <w:t>The alarm management system monitors the following conditions: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rPr>
                <w:b/>
              </w:rPr>
              <w:t>Alarm ID</w:t>
            </w:r>
          </w:p>
        </w:tc>
        <w:tc>
          <w:tcPr>
            <w:tcW w:type="dxa" w:w="2880"/>
          </w:tcPr>
          <w:p>
            <w:r>
              <w:rPr>
                <w:b/>
              </w:rPr>
              <w:t>Severity</w:t>
            </w:r>
          </w:p>
        </w:tc>
        <w:tc>
          <w:tcPr>
            <w:tcW w:type="dxa" w:w="2880"/>
          </w:tcPr>
          <w:p>
            <w:r>
              <w:rPr>
                <w:b/>
              </w:rPr>
              <w:t>Description</w:t>
            </w:r>
          </w:p>
        </w:tc>
      </w:tr>
      <w:tr>
        <w:tc>
          <w:tcPr>
            <w:tcW w:type="dxa" w:w="2880"/>
          </w:tcPr>
          <w:p>
            <w:r>
              <w:t>VACUUM_LOSS</w:t>
            </w:r>
          </w:p>
        </w:tc>
        <w:tc>
          <w:tcPr>
            <w:tcW w:type="dxa" w:w="2880"/>
          </w:tcPr>
          <w:p>
            <w:r>
              <w:t>ALARM</w:t>
            </w:r>
          </w:p>
        </w:tc>
        <w:tc>
          <w:tcPr>
            <w:tcW w:type="dxa" w:w="2880"/>
          </w:tcPr>
          <w:p>
            <w:r>
              <w:t>Vacuum jacket loss — BOG acceleration expected</w:t>
            </w:r>
          </w:p>
        </w:tc>
      </w:tr>
      <w:tr>
        <w:tc>
          <w:tcPr>
            <w:tcW w:type="dxa" w:w="2880"/>
          </w:tcPr>
          <w:p>
            <w:r>
              <w:t>OVERPRESSURE</w:t>
            </w:r>
          </w:p>
        </w:tc>
        <w:tc>
          <w:tcPr>
            <w:tcW w:type="dxa" w:w="2880"/>
          </w:tcPr>
          <w:p>
            <w:r>
              <w:t>ALARM</w:t>
            </w:r>
          </w:p>
        </w:tc>
        <w:tc>
          <w:tcPr>
            <w:tcW w:type="dxa" w:w="2880"/>
          </w:tcPr>
          <w:p>
            <w:r>
              <w:t>Tank pressure &gt;1.40 bar — approaching PSV set point</w:t>
            </w:r>
          </w:p>
        </w:tc>
      </w:tr>
      <w:tr>
        <w:tc>
          <w:tcPr>
            <w:tcW w:type="dxa" w:w="2880"/>
          </w:tcPr>
          <w:p>
            <w:r>
              <w:t>PSV_LIFTING</w:t>
            </w:r>
          </w:p>
        </w:tc>
        <w:tc>
          <w:tcPr>
            <w:tcW w:type="dxa" w:w="2880"/>
          </w:tcPr>
          <w:p>
            <w:r>
              <w:t>ALARM</w:t>
            </w:r>
          </w:p>
        </w:tc>
        <w:tc>
          <w:tcPr>
            <w:tcW w:type="dxa" w:w="2880"/>
          </w:tcPr>
          <w:p>
            <w:r>
              <w:t>RELIEF VALVE LIFTING — H₂ venting to vent mast</w:t>
            </w:r>
          </w:p>
        </w:tc>
      </w:tr>
      <w:tr>
        <w:tc>
          <w:tcPr>
            <w:tcW w:type="dxa" w:w="2880"/>
          </w:tcPr>
          <w:p>
            <w:r>
              <w:t>BOG_HIGH</w:t>
            </w:r>
          </w:p>
        </w:tc>
        <w:tc>
          <w:tcPr>
            <w:tcW w:type="dxa" w:w="2880"/>
          </w:tcPr>
          <w:p>
            <w:r>
              <w:t>WARNING</w:t>
            </w:r>
          </w:p>
        </w:tc>
        <w:tc>
          <w:tcPr>
            <w:tcW w:type="dxa" w:w="2880"/>
          </w:tcPr>
          <w:p>
            <w:r>
              <w:t>BOG rate &gt;0.12%/day — check re-liquefaction system</w:t>
            </w:r>
          </w:p>
        </w:tc>
      </w:tr>
      <w:tr>
        <w:tc>
          <w:tcPr>
            <w:tcW w:type="dxa" w:w="2880"/>
          </w:tcPr>
          <w:p>
            <w:r>
              <w:t>BOG_CRITICAL</w:t>
            </w:r>
          </w:p>
        </w:tc>
        <w:tc>
          <w:tcPr>
            <w:tcW w:type="dxa" w:w="2880"/>
          </w:tcPr>
          <w:p>
            <w:r>
              <w:t>ALARM</w:t>
            </w:r>
          </w:p>
        </w:tc>
        <w:tc>
          <w:tcPr>
            <w:tcW w:type="dxa" w:w="2880"/>
          </w:tcPr>
          <w:p>
            <w:r>
              <w:t>BOG rate &gt;0.15%/day — overpressure risk</w:t>
            </w:r>
          </w:p>
        </w:tc>
      </w:tr>
      <w:tr>
        <w:tc>
          <w:tcPr>
            <w:tcW w:type="dxa" w:w="2880"/>
          </w:tcPr>
          <w:p>
            <w:r>
              <w:t>H2_25LEL</w:t>
            </w:r>
          </w:p>
        </w:tc>
        <w:tc>
          <w:tcPr>
            <w:tcW w:type="dxa" w:w="2880"/>
          </w:tcPr>
          <w:p>
            <w:r>
              <w:t>WARNING</w:t>
            </w:r>
          </w:p>
        </w:tc>
        <w:tc>
          <w:tcPr>
            <w:tcW w:type="dxa" w:w="2880"/>
          </w:tcPr>
          <w:p>
            <w:r>
              <w:t>H₂ concentration &gt;25% LEL — investigate source</w:t>
            </w:r>
          </w:p>
        </w:tc>
      </w:tr>
      <w:tr>
        <w:tc>
          <w:tcPr>
            <w:tcW w:type="dxa" w:w="2880"/>
          </w:tcPr>
          <w:p>
            <w:r>
              <w:t>H2_50LEL</w:t>
            </w:r>
          </w:p>
        </w:tc>
        <w:tc>
          <w:tcPr>
            <w:tcW w:type="dxa" w:w="2880"/>
          </w:tcPr>
          <w:p>
            <w:r>
              <w:t>ALARM</w:t>
            </w:r>
          </w:p>
        </w:tc>
        <w:tc>
          <w:tcPr>
            <w:tcW w:type="dxa" w:w="2880"/>
          </w:tcPr>
          <w:p>
            <w:r>
              <w:t>H₂ concentration &gt;50% LEL — EVACUATE area</w:t>
            </w:r>
          </w:p>
        </w:tc>
      </w:tr>
      <w:tr>
        <w:tc>
          <w:tcPr>
            <w:tcW w:type="dxa" w:w="2880"/>
          </w:tcPr>
          <w:p>
            <w:r>
              <w:t>O2_INGRESS</w:t>
            </w:r>
          </w:p>
        </w:tc>
        <w:tc>
          <w:tcPr>
            <w:tcW w:type="dxa" w:w="2880"/>
          </w:tcPr>
          <w:p>
            <w:r>
              <w:t>ALARM</w:t>
            </w:r>
          </w:p>
        </w:tc>
        <w:tc>
          <w:tcPr>
            <w:tcW w:type="dxa" w:w="2880"/>
          </w:tcPr>
          <w:p>
            <w:r>
              <w:t>O₂ ingress to tank — inerting breach</w:t>
            </w:r>
          </w:p>
        </w:tc>
      </w:tr>
      <w:tr>
        <w:tc>
          <w:tcPr>
            <w:tcW w:type="dxa" w:w="2880"/>
          </w:tcPr>
          <w:p>
            <w:r>
              <w:t>COOLDOWN_FAST</w:t>
            </w:r>
          </w:p>
        </w:tc>
        <w:tc>
          <w:tcPr>
            <w:tcW w:type="dxa" w:w="2880"/>
          </w:tcPr>
          <w:p>
            <w:r>
              <w:t>ALARM</w:t>
            </w:r>
          </w:p>
        </w:tc>
        <w:tc>
          <w:tcPr>
            <w:tcW w:type="dxa" w:w="2880"/>
          </w:tcPr>
          <w:p>
            <w:r>
              <w:t>Cool-down rate &gt;3°C/h — thermal shock risk to inner vessel</w:t>
            </w:r>
          </w:p>
        </w:tc>
      </w:tr>
      <w:tr>
        <w:tc>
          <w:tcPr>
            <w:tcW w:type="dxa" w:w="2880"/>
          </w:tcPr>
          <w:p>
            <w:r>
              <w:t>PARA_LOW</w:t>
            </w:r>
          </w:p>
        </w:tc>
        <w:tc>
          <w:tcPr>
            <w:tcW w:type="dxa" w:w="2880"/>
          </w:tcPr>
          <w:p>
            <w:r>
              <w:t>WARNING</w:t>
            </w:r>
          </w:p>
        </w:tc>
        <w:tc>
          <w:tcPr>
            <w:tcW w:type="dxa" w:w="2880"/>
          </w:tcPr>
          <w:p>
            <w:r>
              <w:t>Para-H₂ ratio &lt;99% — converter efficiency degraded</w:t>
            </w:r>
          </w:p>
        </w:tc>
      </w:tr>
      <w:tr>
        <w:tc>
          <w:tcPr>
            <w:tcW w:type="dxa" w:w="2880"/>
          </w:tcPr>
          <w:p>
            <w:r>
              <w:t>CONV_FAIL</w:t>
            </w:r>
          </w:p>
        </w:tc>
        <w:tc>
          <w:tcPr>
            <w:tcW w:type="dxa" w:w="2880"/>
          </w:tcPr>
          <w:p>
            <w:r>
              <w:t>ALARM</w:t>
            </w:r>
          </w:p>
        </w:tc>
        <w:tc>
          <w:tcPr>
            <w:tcW w:type="dxa" w:w="2880"/>
          </w:tcPr>
          <w:p>
            <w:r>
              <w:t>Ortho-para converter failure — storage stability risk</w:t>
            </w:r>
          </w:p>
        </w:tc>
      </w:tr>
      <w:tr>
        <w:tc>
          <w:tcPr>
            <w:tcW w:type="dxa" w:w="2880"/>
          </w:tcPr>
          <w:p>
            <w:r>
              <w:t>ESD_FIRED</w:t>
            </w:r>
          </w:p>
        </w:tc>
        <w:tc>
          <w:tcPr>
            <w:tcW w:type="dxa" w:w="2880"/>
          </w:tcPr>
          <w:p>
            <w:r>
              <w:t>ALARM</w:t>
            </w:r>
          </w:p>
        </w:tc>
        <w:tc>
          <w:tcPr>
            <w:tcW w:type="dxa" w:w="2880"/>
          </w:tcPr>
          <w:p>
            <w:r>
              <w:t>EMERGENCY SHUTDOWN ACTIVATED — all cryo valves closed</w:t>
            </w:r>
          </w:p>
        </w:tc>
      </w:tr>
      <w:tr>
        <w:tc>
          <w:tcPr>
            <w:tcW w:type="dxa" w:w="2880"/>
          </w:tcPr>
          <w:p>
            <w:r>
              <w:t>POWER_LOSS</w:t>
            </w:r>
          </w:p>
        </w:tc>
        <w:tc>
          <w:tcPr>
            <w:tcW w:type="dxa" w:w="2880"/>
          </w:tcPr>
          <w:p>
            <w:r>
              <w:t>ALARM</w:t>
            </w:r>
          </w:p>
        </w:tc>
        <w:tc>
          <w:tcPr>
            <w:tcW w:type="dxa" w:w="2880"/>
          </w:tcPr>
          <w:p>
            <w:r>
              <w:t>POWER LOSS — transfer pumps and BOG compressor tripped</w:t>
            </w:r>
          </w:p>
        </w:tc>
      </w:tr>
    </w:tbl>
    <w:p>
      <w:pPr>
        <w:pStyle w:val="Heading2"/>
      </w:pPr>
      <w:r>
        <w:t>4.4 Pipeline Line-Up</w:t>
      </w:r>
    </w:p>
    <w:p>
      <w:r>
        <w:t>The pipeline panel allows valve-by-valve line-up verification for each operational mode.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b/>
              </w:rPr>
              <w:t>Valve ID</w:t>
            </w:r>
          </w:p>
        </w:tc>
        <w:tc>
          <w:tcPr>
            <w:tcW w:type="dxa" w:w="4320"/>
          </w:tcPr>
          <w:p>
            <w:r>
              <w:rPr>
                <w:b/>
              </w:rPr>
              <w:t>Description</w:t>
            </w:r>
          </w:p>
        </w:tc>
      </w:tr>
      <w:tr>
        <w:tc>
          <w:tcPr>
            <w:tcW w:type="dxa" w:w="4320"/>
          </w:tcPr>
          <w:p>
            <w:r>
              <w:t>T1_IV</w:t>
            </w:r>
          </w:p>
        </w:tc>
        <w:tc>
          <w:tcPr>
            <w:tcW w:type="dxa" w:w="4320"/>
          </w:tcPr>
          <w:p>
            <w:r>
              <w:t>No.1 Cryogenic Tank Isolation</w:t>
            </w:r>
          </w:p>
        </w:tc>
      </w:tr>
      <w:tr>
        <w:tc>
          <w:tcPr>
            <w:tcW w:type="dxa" w:w="4320"/>
          </w:tcPr>
          <w:p>
            <w:r>
              <w:t>T2_IV</w:t>
            </w:r>
          </w:p>
        </w:tc>
        <w:tc>
          <w:tcPr>
            <w:tcW w:type="dxa" w:w="4320"/>
          </w:tcPr>
          <w:p>
            <w:r>
              <w:t>No.2 Cryogenic Tank Isolation</w:t>
            </w:r>
          </w:p>
        </w:tc>
      </w:tr>
      <w:tr>
        <w:tc>
          <w:tcPr>
            <w:tcW w:type="dxa" w:w="4320"/>
          </w:tcPr>
          <w:p>
            <w:r>
              <w:t>T3_IV</w:t>
            </w:r>
          </w:p>
        </w:tc>
        <w:tc>
          <w:tcPr>
            <w:tcW w:type="dxa" w:w="4320"/>
          </w:tcPr>
          <w:p>
            <w:r>
              <w:t>No.3 Cryogenic Tank Isolation</w:t>
            </w:r>
          </w:p>
        </w:tc>
      </w:tr>
      <w:tr>
        <w:tc>
          <w:tcPr>
            <w:tcW w:type="dxa" w:w="4320"/>
          </w:tcPr>
          <w:p>
            <w:r>
              <w:t>CP1_DV</w:t>
            </w:r>
          </w:p>
        </w:tc>
        <w:tc>
          <w:tcPr>
            <w:tcW w:type="dxa" w:w="4320"/>
          </w:tcPr>
          <w:p>
            <w:r>
              <w:t>Cryogenic Pump 1 Discharge</w:t>
            </w:r>
          </w:p>
        </w:tc>
      </w:tr>
      <w:tr>
        <w:tc>
          <w:tcPr>
            <w:tcW w:type="dxa" w:w="4320"/>
          </w:tcPr>
          <w:p>
            <w:r>
              <w:t>CP2_DV</w:t>
            </w:r>
          </w:p>
        </w:tc>
        <w:tc>
          <w:tcPr>
            <w:tcW w:type="dxa" w:w="4320"/>
          </w:tcPr>
          <w:p>
            <w:r>
              <w:t>Cryogenic Pump 2 Discharge</w:t>
            </w:r>
          </w:p>
        </w:tc>
      </w:tr>
      <w:tr>
        <w:tc>
          <w:tcPr>
            <w:tcW w:type="dxa" w:w="4320"/>
          </w:tcPr>
          <w:p>
            <w:r>
              <w:t>LH_XV</w:t>
            </w:r>
          </w:p>
        </w:tc>
        <w:tc>
          <w:tcPr>
            <w:tcW w:type="dxa" w:w="4320"/>
          </w:tcPr>
          <w:p>
            <w:r>
              <w:t>Liquid Hydrogen Header Crossover</w:t>
            </w:r>
          </w:p>
        </w:tc>
      </w:tr>
      <w:tr>
        <w:tc>
          <w:tcPr>
            <w:tcW w:type="dxa" w:w="4320"/>
          </w:tcPr>
          <w:p>
            <w:r>
              <w:t>MAN_P</w:t>
            </w:r>
          </w:p>
        </w:tc>
        <w:tc>
          <w:tcPr>
            <w:tcW w:type="dxa" w:w="4320"/>
          </w:tcPr>
          <w:p>
            <w:r>
              <w:t>Port Manifold Isolation</w:t>
            </w:r>
          </w:p>
        </w:tc>
      </w:tr>
      <w:tr>
        <w:tc>
          <w:tcPr>
            <w:tcW w:type="dxa" w:w="4320"/>
          </w:tcPr>
          <w:p>
            <w:r>
              <w:t>VRL_MAN</w:t>
            </w:r>
          </w:p>
        </w:tc>
        <w:tc>
          <w:tcPr>
            <w:tcW w:type="dxa" w:w="4320"/>
          </w:tcPr>
          <w:p>
            <w:r>
              <w:t>Vapour Return Line Manifold</w:t>
            </w:r>
          </w:p>
        </w:tc>
      </w:tr>
      <w:tr>
        <w:tc>
          <w:tcPr>
            <w:tcW w:type="dxa" w:w="4320"/>
          </w:tcPr>
          <w:p>
            <w:r>
              <w:t>BOG_XV</w:t>
            </w:r>
          </w:p>
        </w:tc>
        <w:tc>
          <w:tcPr>
            <w:tcW w:type="dxa" w:w="4320"/>
          </w:tcPr>
          <w:p>
            <w:r>
              <w:t>BOG Crossover to GCU/Reliq</w:t>
            </w:r>
          </w:p>
        </w:tc>
      </w:tr>
      <w:tr>
        <w:tc>
          <w:tcPr>
            <w:tcW w:type="dxa" w:w="4320"/>
          </w:tcPr>
          <w:p>
            <w:r>
              <w:t>RELIQ_IN</w:t>
            </w:r>
          </w:p>
        </w:tc>
        <w:tc>
          <w:tcPr>
            <w:tcW w:type="dxa" w:w="4320"/>
          </w:tcPr>
          <w:p>
            <w:r>
              <w:t>Reliq Unit Suction Isolation</w:t>
            </w:r>
          </w:p>
        </w:tc>
      </w:tr>
      <w:tr>
        <w:tc>
          <w:tcPr>
            <w:tcW w:type="dxa" w:w="4320"/>
          </w:tcPr>
          <w:p>
            <w:r>
              <w:t>RELIQ_OUT</w:t>
            </w:r>
          </w:p>
        </w:tc>
        <w:tc>
          <w:tcPr>
            <w:tcW w:type="dxa" w:w="4320"/>
          </w:tcPr>
          <w:p>
            <w:r>
              <w:t>Reliq Unit Discharge Isolation</w:t>
            </w:r>
          </w:p>
        </w:tc>
      </w:tr>
      <w:tr>
        <w:tc>
          <w:tcPr>
            <w:tcW w:type="dxa" w:w="4320"/>
          </w:tcPr>
          <w:p>
            <w:r>
              <w:t>N2_PURGE</w:t>
            </w:r>
          </w:p>
        </w:tc>
        <w:tc>
          <w:tcPr>
            <w:tcW w:type="dxa" w:w="4320"/>
          </w:tcPr>
          <w:p>
            <w:r>
              <w:t>N\u2082 Purge Line Valve</w:t>
            </w:r>
          </w:p>
        </w:tc>
      </w:tr>
      <w:tr>
        <w:tc>
          <w:tcPr>
            <w:tcW w:type="dxa" w:w="4320"/>
          </w:tcPr>
          <w:p>
            <w:r>
              <w:t>He_INST</w:t>
            </w:r>
          </w:p>
        </w:tc>
        <w:tc>
          <w:tcPr>
            <w:tcW w:type="dxa" w:w="4320"/>
          </w:tcPr>
          <w:p>
            <w:r>
              <w:t>He Instrument Purge Valve</w:t>
            </w:r>
          </w:p>
        </w:tc>
      </w:tr>
      <w:tr>
        <w:tc>
          <w:tcPr>
            <w:tcW w:type="dxa" w:w="4320"/>
          </w:tcPr>
          <w:p>
            <w:r>
              <w:t>PRV_VENT</w:t>
            </w:r>
          </w:p>
        </w:tc>
        <w:tc>
          <w:tcPr>
            <w:tcW w:type="dxa" w:w="4320"/>
          </w:tcPr>
          <w:p>
            <w:r>
              <w:t>PRV Vent Stack Isolation</w:t>
            </w:r>
          </w:p>
        </w:tc>
      </w:tr>
      <w:tr>
        <w:tc>
          <w:tcPr>
            <w:tcW w:type="dxa" w:w="4320"/>
          </w:tcPr>
          <w:p>
            <w:r>
              <w:t>STRIP_IV</w:t>
            </w:r>
          </w:p>
        </w:tc>
        <w:tc>
          <w:tcPr>
            <w:tcW w:type="dxa" w:w="4320"/>
          </w:tcPr>
          <w:p>
            <w:r>
              <w:t>Stripping Line Isolation</w:t>
            </w:r>
          </w:p>
        </w:tc>
      </w:tr>
    </w:tbl>
    <w:p>
      <w:pPr>
        <w:pStyle w:val="Heading1"/>
      </w:pPr>
      <w:r>
        <w:t>5. Training Scenarios</w:t>
      </w:r>
    </w:p>
    <w:p>
      <w:r>
        <w:t>Select a scenario from the modal dialog when the simulator loads. Each scenario has specific learning objectives and a checklist of actions to complete.</w:t>
      </w:r>
    </w:p>
    <w:p>
      <w:pPr>
        <w:pStyle w:val="Heading2"/>
      </w:pPr>
      <w:r>
        <w:t>5.1 NORMAL SEA VOYAGE — BOG MANAGEMENT</w:t>
      </w:r>
    </w:p>
    <w:p>
      <w:r>
        <w:t>Steady-state LH₂ voyage. BOG nominal 0.08%/day. Re-liquefaction active. Monitor para ratio.</w:t>
      </w:r>
    </w:p>
    <w:p>
      <w:pPr>
        <w:pStyle w:val="Heading3"/>
      </w:pPr>
      <w:r>
        <w:t>Actions Required</w:t>
      </w:r>
    </w:p>
    <w:p>
      <w:r>
        <w:rPr>
          <w:b/>
        </w:rPr>
        <w:t xml:space="preserve">Step 1: </w:t>
      </w:r>
      <w:r>
        <w:t>Verify BOG rate &lt;0.10%/day</w:t>
      </w:r>
    </w:p>
    <w:p>
      <w:r>
        <w:rPr>
          <w:b/>
        </w:rPr>
        <w:t xml:space="preserve">Step 2: </w:t>
      </w:r>
      <w:r>
        <w:t>Confirm BOG compressor running</w:t>
      </w:r>
    </w:p>
    <w:p>
      <w:r>
        <w:rPr>
          <w:b/>
        </w:rPr>
        <w:t xml:space="preserve">Step 3: </w:t>
      </w:r>
      <w:r>
        <w:t>Check para-H₂ ratio &gt;99%</w:t>
      </w:r>
    </w:p>
    <w:p>
      <w:r>
        <w:rPr>
          <w:b/>
        </w:rPr>
        <w:t xml:space="preserve">Step 4: </w:t>
      </w:r>
      <w:r>
        <w:t>Monitor vacuum jacket &lt;100 µPa</w:t>
      </w:r>
    </w:p>
    <w:p>
      <w:r>
        <w:rPr>
          <w:b/>
        </w:rPr>
        <w:t xml:space="preserve">Step 5: </w:t>
      </w:r>
      <w:r>
        <w:t>Log tank pressure hourly</w:t>
      </w:r>
    </w:p>
    <w:p>
      <w:pPr>
        <w:pStyle w:val="Heading2"/>
      </w:pPr>
      <w:r>
        <w:t>5.2 VACUUM JACKET LEAK — CRITICAL</w:t>
      </w:r>
    </w:p>
    <w:p>
      <w:r>
        <w:t>Annular vacuum degrading. MLI performance dropping. BOG rate accelerating. Risk of catastrophic boil-off.</w:t>
      </w:r>
    </w:p>
    <w:p>
      <w:pPr>
        <w:pStyle w:val="Heading3"/>
      </w:pPr>
      <w:r>
        <w:t>Actions Required</w:t>
      </w:r>
    </w:p>
    <w:p>
      <w:r>
        <w:rPr>
          <w:b/>
        </w:rPr>
        <w:t xml:space="preserve">Step 1: </w:t>
      </w:r>
      <w:r>
        <w:t>Acknowledge vacuum alarm</w:t>
      </w:r>
    </w:p>
    <w:p>
      <w:r>
        <w:rPr>
          <w:b/>
        </w:rPr>
        <w:t xml:space="preserve">Step 2: </w:t>
      </w:r>
      <w:r>
        <w:t>Isolate vacuum jacket section</w:t>
      </w:r>
    </w:p>
    <w:p>
      <w:r>
        <w:rPr>
          <w:b/>
        </w:rPr>
        <w:t xml:space="preserve">Step 3: </w:t>
      </w:r>
      <w:r>
        <w:t>Increase BOG compressor speed</w:t>
      </w:r>
    </w:p>
    <w:p>
      <w:r>
        <w:rPr>
          <w:b/>
        </w:rPr>
        <w:t xml:space="preserve">Step 4: </w:t>
      </w:r>
      <w:r>
        <w:t>Activate emergency vent if P&gt;1.40</w:t>
      </w:r>
    </w:p>
    <w:p>
      <w:r>
        <w:rPr>
          <w:b/>
        </w:rPr>
        <w:t xml:space="preserve">Step 5: </w:t>
      </w:r>
      <w:r>
        <w:t>Divert route to nearest port</w:t>
      </w:r>
    </w:p>
    <w:p>
      <w:pPr>
        <w:pStyle w:val="Heading2"/>
      </w:pPr>
      <w:r>
        <w:t>5.3 COOL-DOWN RATE DEVIATION</w:t>
      </w:r>
    </w:p>
    <w:p>
      <w:r>
        <w:t>Spray rate excessive. Cool-down &gt;3°C/h. Reduce LH₂ spray to protect inner vessel from thermal shock.</w:t>
      </w:r>
    </w:p>
    <w:p>
      <w:pPr>
        <w:pStyle w:val="Heading3"/>
      </w:pPr>
      <w:r>
        <w:t>Actions Required</w:t>
      </w:r>
    </w:p>
    <w:p>
      <w:r>
        <w:rPr>
          <w:b/>
        </w:rPr>
        <w:t xml:space="preserve">Step 1: </w:t>
      </w:r>
      <w:r>
        <w:t>Acknowledge cool-down rate alarm</w:t>
      </w:r>
    </w:p>
    <w:p>
      <w:r>
        <w:rPr>
          <w:b/>
        </w:rPr>
        <w:t xml:space="preserve">Step 2: </w:t>
      </w:r>
      <w:r>
        <w:t>Reduce spray valve opening</w:t>
      </w:r>
    </w:p>
    <w:p>
      <w:r>
        <w:rPr>
          <w:b/>
        </w:rPr>
        <w:t xml:space="preserve">Step 3: </w:t>
      </w:r>
      <w:r>
        <w:t>Monitor inner vessel temp gradient</w:t>
      </w:r>
    </w:p>
    <w:p>
      <w:r>
        <w:rPr>
          <w:b/>
        </w:rPr>
        <w:t xml:space="preserve">Step 4: </w:t>
      </w:r>
      <w:r>
        <w:t>Target ≤3°C/h cool-down rate</w:t>
      </w:r>
    </w:p>
    <w:p>
      <w:pPr>
        <w:pStyle w:val="Heading2"/>
      </w:pPr>
      <w:r>
        <w:t>5.4 BOIL-OFF EXCESS — PRESSURE RISE</w:t>
      </w:r>
    </w:p>
    <w:p>
      <w:r>
        <w:t>BOG rate exceeds threshold. Tank pressure rising. PSV set at 1.50 bar. Manage BOG routing urgently.</w:t>
      </w:r>
    </w:p>
    <w:p>
      <w:pPr>
        <w:pStyle w:val="Heading3"/>
      </w:pPr>
      <w:r>
        <w:t>Actions Required</w:t>
      </w:r>
    </w:p>
    <w:p>
      <w:r>
        <w:rPr>
          <w:b/>
        </w:rPr>
        <w:t xml:space="preserve">Step 1: </w:t>
      </w:r>
      <w:r>
        <w:t>Acknowledge BOG high alarm</w:t>
      </w:r>
    </w:p>
    <w:p>
      <w:r>
        <w:rPr>
          <w:b/>
        </w:rPr>
        <w:t xml:space="preserve">Step 2: </w:t>
      </w:r>
      <w:r>
        <w:t>Start BOG compressor at max</w:t>
      </w:r>
    </w:p>
    <w:p>
      <w:r>
        <w:rPr>
          <w:b/>
        </w:rPr>
        <w:t xml:space="preserve">Step 3: </w:t>
      </w:r>
      <w:r>
        <w:t>Divert BOG to ship fuel system</w:t>
      </w:r>
    </w:p>
    <w:p>
      <w:r>
        <w:rPr>
          <w:b/>
        </w:rPr>
        <w:t xml:space="preserve">Step 4: </w:t>
      </w:r>
      <w:r>
        <w:t>Monitor tank pressure trend</w:t>
      </w:r>
    </w:p>
    <w:p>
      <w:r>
        <w:rPr>
          <w:b/>
        </w:rPr>
        <w:t xml:space="preserve">Step 5: </w:t>
      </w:r>
      <w:r>
        <w:t>Prepare vent mast if P&gt;1.45 bar</w:t>
      </w:r>
    </w:p>
    <w:p>
      <w:pPr>
        <w:pStyle w:val="Heading1"/>
      </w:pPr>
      <w:r>
        <w:t>6. Emergency Procedures</w:t>
      </w:r>
    </w:p>
    <w:p>
      <w:r>
        <w:t>When an alarm condition occurs:</w:t>
      </w:r>
    </w:p>
    <w:p>
      <w:r>
        <w:rPr>
          <w:b/>
        </w:rPr>
        <w:t xml:space="preserve">1. </w:t>
      </w:r>
      <w:r>
        <w:t>Identify the alarm in the Alarm Management panel (right side).</w:t>
      </w:r>
    </w:p>
    <w:p>
      <w:r>
        <w:rPr>
          <w:b/>
        </w:rPr>
        <w:t xml:space="preserve">2. </w:t>
      </w:r>
      <w:r>
        <w:t>Acknowledge the alarm by clicking on it.</w:t>
      </w:r>
    </w:p>
    <w:p>
      <w:r>
        <w:rPr>
          <w:b/>
        </w:rPr>
        <w:t xml:space="preserve">3. </w:t>
      </w:r>
      <w:r>
        <w:t>Assess the severity: WARNING (amber) requires monitoring; ALARM (red) requires immediate action.</w:t>
      </w:r>
    </w:p>
    <w:p>
      <w:r>
        <w:rPr>
          <w:b/>
        </w:rPr>
        <w:t xml:space="preserve">4. </w:t>
      </w:r>
      <w:r>
        <w:t>If Emergency Shutdown (ESD) is required, press the ESD button.</w:t>
      </w:r>
    </w:p>
    <w:p>
      <w:r>
        <w:rPr>
          <w:b/>
        </w:rPr>
        <w:t xml:space="preserve">5. </w:t>
      </w:r>
      <w:r>
        <w:t>Follow the scenario checklist for step-by-step response.</w:t>
      </w:r>
    </w:p>
    <w:p>
      <w:r>
        <w:rPr>
          <w:b/>
        </w:rPr>
        <w:t xml:space="preserve">6. </w:t>
      </w:r>
      <w:r>
        <w:t>After resolving the condition, use the RESET button to restore normal operations.</w:t>
      </w:r>
    </w:p>
    <w:p>
      <w:pPr>
        <w:pStyle w:val="Heading1"/>
      </w:pPr>
      <w:r>
        <w:t>8. Trainee Assessment Checklist</w:t>
      </w:r>
    </w:p>
    <w:p>
      <w:r>
        <w:t>The instructor should verify the trainee can:</w:t>
      </w:r>
    </w:p>
    <w:p>
      <w:pPr>
        <w:pStyle w:val="ListBullet"/>
      </w:pPr>
      <w:r>
        <w:t>Identify all panels and their functions.</w:t>
      </w:r>
    </w:p>
    <w:p>
      <w:pPr>
        <w:pStyle w:val="ListBullet"/>
      </w:pPr>
      <w:r>
        <w:t>Read and interpret gauge values and colour codes.</w:t>
      </w:r>
    </w:p>
    <w:p>
      <w:pPr>
        <w:pStyle w:val="ListBullet"/>
      </w:pPr>
      <w:r>
        <w:t>Operate valve controls correctly.</w:t>
      </w:r>
    </w:p>
    <w:p>
      <w:pPr>
        <w:pStyle w:val="ListBullet"/>
      </w:pPr>
      <w:r>
        <w:t>Acknowledge and respond to alarms within appropriate time.</w:t>
      </w:r>
    </w:p>
    <w:p>
      <w:pPr>
        <w:pStyle w:val="ListBullet"/>
      </w:pPr>
      <w:r>
        <w:t>Execute the Emergency Shutdown procedure.</w:t>
      </w:r>
    </w:p>
    <w:p>
      <w:pPr>
        <w:pStyle w:val="ListBullet"/>
      </w:pPr>
      <w:r>
        <w:t>Complete at least two training scenarios with all checklist items done.</w:t>
      </w:r>
    </w:p>
    <w:p>
      <w:pPr>
        <w:pStyle w:val="ListBullet"/>
      </w:pPr>
      <w:r>
        <w:t>Explain the regulatory basis for the system (where applicable).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rPr>
                <w:b/>
              </w:rPr>
              <w:t>Assessment Item</w:t>
            </w:r>
          </w:p>
        </w:tc>
        <w:tc>
          <w:tcPr>
            <w:tcW w:type="dxa" w:w="2880"/>
          </w:tcPr>
          <w:p>
            <w:r>
              <w:rPr>
                <w:b/>
              </w:rPr>
              <w:t>Result (Pass/Fail)</w:t>
            </w:r>
          </w:p>
        </w:tc>
        <w:tc>
          <w:tcPr>
            <w:tcW w:type="dxa" w:w="2880"/>
          </w:tcPr>
          <w:p>
            <w:r>
              <w:rPr>
                <w:b/>
              </w:rPr>
              <w:t>Remarks</w:t>
            </w:r>
          </w:p>
        </w:tc>
      </w:tr>
      <w:tr>
        <w:tc>
          <w:tcPr>
            <w:tcW w:type="dxa" w:w="2880"/>
          </w:tcPr>
          <w:p>
            <w:r>
              <w:t>Scenario Completion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Alarm Response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Emergency Procedure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</w:tbl>
    <w:p/>
    <w:p>
      <w:pPr>
        <w:jc w:val="center"/>
      </w:pPr>
      <w:r>
        <w:rPr>
          <w:color w:val="969696"/>
          <w:sz w:val="16"/>
        </w:rPr>
        <w:t>Generated by BlueSim Training Guide System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80"/>
    </w:pPr>
    <w:rPr>
      <w:rFonts w:ascii="Calibri" w:hAnsi="Calibri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