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/>
    <w:p>
      <w:pPr>
        <w:jc w:val="center"/>
      </w:pPr>
      <w:r>
        <w:rPr>
          <w:b/>
          <w:color w:val="00788C"/>
          <w:sz w:val="28"/>
        </w:rPr>
        <w:t>BlueSim Training Guide</w:t>
      </w:r>
    </w:p>
    <w:p>
      <w:pPr>
        <w:jc w:val="center"/>
      </w:pPr>
      <w:r>
        <w:rPr>
          <w:b/>
          <w:sz w:val="48"/>
        </w:rPr>
        <w:t>LNG Tanker Cargo Simulator</w:t>
      </w:r>
    </w:p>
    <w:p>
      <w:pPr>
        <w:jc w:val="center"/>
      </w:pPr>
      <w:r>
        <w:rPr>
          <w:color w:val="646464"/>
          <w:sz w:val="24"/>
        </w:rPr>
        <w:t>Cargo Simulators</w:t>
      </w:r>
    </w:p>
    <w:p>
      <w:pPr>
        <w:jc w:val="center"/>
      </w:pPr>
      <w:r>
        <w:rPr>
          <w:color w:val="505050"/>
          <w:sz w:val="20"/>
        </w:rPr>
        <w:t>Q-Flex 216,000 m³ membrane LNG tanker — IGC Code 2016, STCW V/1-2 compliant. Full 11-phase voyage with BOG management, reliquefaction, and DFDE propulsion.</w:t>
      </w:r>
    </w:p>
    <w:p>
      <w:r>
        <w:br w:type="page"/>
      </w:r>
    </w:p>
    <w:p>
      <w:pPr>
        <w:pStyle w:val="Heading1"/>
      </w:pPr>
      <w:r>
        <w:t>1. Display Requirements</w:t>
      </w:r>
    </w:p>
    <w:tbl>
      <w:tblPr>
        <w:tblStyle w:val="LightGrid-Accent1"/>
        <w:tblW w:type="auto" w:w="0"/>
        <w:jc w:val="lef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Optimal Resolution</w:t>
            </w:r>
          </w:p>
        </w:tc>
        <w:tc>
          <w:tcPr>
            <w:tcW w:type="dxa" w:w="4320"/>
          </w:tcPr>
          <w:p>
            <w:r>
              <w:t>1920 x 1080 (Full HD)</w:t>
            </w:r>
          </w:p>
        </w:tc>
      </w:tr>
      <w:tr>
        <w:tc>
          <w:tcPr>
            <w:tcW w:type="dxa" w:w="4320"/>
          </w:tcPr>
          <w:p>
            <w:r>
              <w:t>Minimum Resolution</w:t>
            </w:r>
          </w:p>
        </w:tc>
        <w:tc>
          <w:tcPr>
            <w:tcW w:type="dxa" w:w="4320"/>
          </w:tcPr>
          <w:p>
            <w:r>
              <w:t>1366 x 768</w:t>
            </w:r>
          </w:p>
        </w:tc>
      </w:tr>
      <w:tr>
        <w:tc>
          <w:tcPr>
            <w:tcW w:type="dxa" w:w="4320"/>
          </w:tcPr>
          <w:p>
            <w:r>
              <w:t>Aspect Ratio</w:t>
            </w:r>
          </w:p>
        </w:tc>
        <w:tc>
          <w:tcPr>
            <w:tcW w:type="dxa" w:w="4320"/>
          </w:tcPr>
          <w:p>
            <w:r>
              <w:t>16:9 (recommended) or 16:10</w:t>
            </w:r>
          </w:p>
        </w:tc>
      </w:tr>
      <w:tr>
        <w:tc>
          <w:tcPr>
            <w:tcW w:type="dxa" w:w="4320"/>
          </w:tcPr>
          <w:p>
            <w:r>
              <w:t>Browser</w:t>
            </w:r>
          </w:p>
        </w:tc>
        <w:tc>
          <w:tcPr>
            <w:tcW w:type="dxa" w:w="4320"/>
          </w:tcPr>
          <w:p>
            <w:r>
              <w:t>Chrome 90+, Firefox 90+, Edge 90+ (fullscreen recommended)</w:t>
            </w:r>
          </w:p>
        </w:tc>
      </w:tr>
      <w:tr>
        <w:tc>
          <w:tcPr>
            <w:tcW w:type="dxa" w:w="4320"/>
          </w:tcPr>
          <w:p>
            <w:r>
              <w:t>Input</w:t>
            </w:r>
          </w:p>
        </w:tc>
        <w:tc>
          <w:tcPr>
            <w:tcW w:type="dxa" w:w="4320"/>
          </w:tcPr>
          <w:p>
            <w:r>
              <w:t>Mouse + keyboard (touchscreen not supported)</w:t>
            </w:r>
          </w:p>
        </w:tc>
      </w:tr>
    </w:tbl>
    <w:p/>
    <w:p>
      <w:r>
        <w:rPr>
          <w:b/>
        </w:rPr>
        <w:t xml:space="preserve">Note: </w:t>
      </w:r>
      <w:r>
        <w:t>The simulator is designed for desktop use. On screens below 980 x 600 px, a "Screen Too Small" notice will appear. For the best experience, press F11 for fullscreen mode after launching the simulator.</w:t>
      </w:r>
    </w:p>
    <w:p>
      <w:pPr>
        <w:pStyle w:val="Heading1"/>
      </w:pPr>
      <w:r>
        <w:t>2. Simulator Overview</w:t>
      </w:r>
    </w:p>
    <w:p>
      <w:r>
        <w:t>Q-Flex 216,000 m³ membrane LNG tanker — IGC Code 2016, STCW V/1-2 compliant. Full 11-phase voyage with BOG management, reliquefaction, and DFDE propulsion.</w:t>
      </w:r>
    </w:p>
    <w:p>
      <w:pPr>
        <w:pStyle w:val="Heading2"/>
      </w:pPr>
      <w:r>
        <w:t>Key Features</w:t>
      </w:r>
    </w:p>
    <w:p>
      <w:pPr>
        <w:pStyle w:val="ListBullet"/>
      </w:pPr>
      <w:r>
        <w:t>Cool-down, gassing-up, loading, laden voyage, discharge, and warm-up.</w:t>
      </w:r>
    </w:p>
    <w:p>
      <w:pPr>
        <w:pStyle w:val="ListBullet"/>
      </w:pPr>
      <w:r>
        <w:t>Emergency scenarios: rollover, rapid BOG, reliq failure, cryogenic fire.</w:t>
      </w:r>
    </w:p>
    <w:p>
      <w:pPr>
        <w:pStyle w:val="Heading1"/>
      </w:pPr>
      <w:r>
        <w:t>3. Interface Layout</w:t>
      </w:r>
    </w:p>
    <w:p>
      <w:r>
        <w:t>The simulator uses a multi-panel layout with the following regions: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Panel</w:t>
            </w:r>
          </w:p>
        </w:tc>
        <w:tc>
          <w:tcPr>
            <w:tcW w:type="dxa" w:w="4320"/>
          </w:tcPr>
          <w:p>
            <w:r>
              <w:rPr>
                <w:b/>
              </w:rPr>
              <w:t>Purpose</w:t>
            </w:r>
          </w:p>
        </w:tc>
      </w:tr>
      <w:tr>
        <w:tc>
          <w:tcPr>
            <w:tcW w:type="dxa" w:w="4320"/>
          </w:tcPr>
          <w:p>
            <w:r>
              <w:t>EXIT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</w:tbl>
    <w:p/>
    <w:p>
      <w:r>
        <w:rPr>
          <w:b/>
        </w:rPr>
        <w:t xml:space="preserve">Header Bar: </w:t>
      </w:r>
      <w:r>
        <w:t>Shows simulator title, regulatory reference, live clock, fullscreen toggle, and exit button.</w:t>
      </w:r>
    </w:p>
    <w:p>
      <w:r>
        <w:rPr>
          <w:b/>
        </w:rPr>
        <w:t xml:space="preserve">Left Panel: </w:t>
      </w:r>
      <w:r>
        <w:t>System gauges, valve controls, and operational parameters.</w:t>
      </w:r>
    </w:p>
    <w:p>
      <w:r>
        <w:rPr>
          <w:b/>
        </w:rPr>
        <w:t xml:space="preserve">Center Panel: </w:t>
      </w:r>
      <w:r>
        <w:t>P&amp;ID schematic or main visual display (canvas/SVG).</w:t>
      </w:r>
    </w:p>
    <w:p>
      <w:r>
        <w:rPr>
          <w:b/>
        </w:rPr>
        <w:t xml:space="preserve">Right Panel: </w:t>
      </w:r>
      <w:r>
        <w:t>Alarm management, emergency controls, and scenario buttons.</w:t>
      </w:r>
    </w:p>
    <w:p>
      <w:r>
        <w:rPr>
          <w:b/>
        </w:rPr>
        <w:t xml:space="preserve">Bottom Panels: </w:t>
      </w:r>
      <w:r>
        <w:t>Trend charts, gas detection, scenario checklists, and supplementary data.</w:t>
      </w:r>
    </w:p>
    <w:p>
      <w:pPr>
        <w:pStyle w:val="Heading1"/>
      </w:pPr>
      <w:r>
        <w:t>4. System Components</w:t>
      </w:r>
    </w:p>
    <w:p>
      <w:pPr>
        <w:pStyle w:val="Heading2"/>
      </w:pPr>
      <w:r>
        <w:t>4.4 Pipeline Line-Up</w:t>
      </w:r>
    </w:p>
    <w:p>
      <w:r>
        <w:t>The pipeline panel allows valve-by-valve line-up verification for each operational mode.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Valve ID</w:t>
            </w:r>
          </w:p>
        </w:tc>
        <w:tc>
          <w:tcPr>
            <w:tcW w:type="dxa" w:w="4320"/>
          </w:tcPr>
          <w:p>
            <w:r>
              <w:rPr>
                <w:b/>
              </w:rPr>
              <w:t>Description</w:t>
            </w:r>
          </w:p>
        </w:tc>
      </w:tr>
      <w:tr>
        <w:tc>
          <w:tcPr>
            <w:tcW w:type="dxa" w:w="4320"/>
          </w:tcPr>
          <w:p>
            <w:r>
              <w:t>T1_IV</w:t>
            </w:r>
          </w:p>
        </w:tc>
        <w:tc>
          <w:tcPr>
            <w:tcW w:type="dxa" w:w="4320"/>
          </w:tcPr>
          <w:p>
            <w:r>
              <w:t>No.1 Tank Dome Isolation</w:t>
            </w:r>
          </w:p>
        </w:tc>
      </w:tr>
      <w:tr>
        <w:tc>
          <w:tcPr>
            <w:tcW w:type="dxa" w:w="4320"/>
          </w:tcPr>
          <w:p>
            <w:r>
              <w:t>T2_IV</w:t>
            </w:r>
          </w:p>
        </w:tc>
        <w:tc>
          <w:tcPr>
            <w:tcW w:type="dxa" w:w="4320"/>
          </w:tcPr>
          <w:p>
            <w:r>
              <w:t>No.2 Tank Dome Isolation</w:t>
            </w:r>
          </w:p>
        </w:tc>
      </w:tr>
      <w:tr>
        <w:tc>
          <w:tcPr>
            <w:tcW w:type="dxa" w:w="4320"/>
          </w:tcPr>
          <w:p>
            <w:r>
              <w:t>T3_IV</w:t>
            </w:r>
          </w:p>
        </w:tc>
        <w:tc>
          <w:tcPr>
            <w:tcW w:type="dxa" w:w="4320"/>
          </w:tcPr>
          <w:p>
            <w:r>
              <w:t>No.3 Tank Dome Isolation</w:t>
            </w:r>
          </w:p>
        </w:tc>
      </w:tr>
      <w:tr>
        <w:tc>
          <w:tcPr>
            <w:tcW w:type="dxa" w:w="4320"/>
          </w:tcPr>
          <w:p>
            <w:r>
              <w:t>T4_IV</w:t>
            </w:r>
          </w:p>
        </w:tc>
        <w:tc>
          <w:tcPr>
            <w:tcW w:type="dxa" w:w="4320"/>
          </w:tcPr>
          <w:p>
            <w:r>
              <w:t>No.4 Tank Dome Isolation</w:t>
            </w:r>
          </w:p>
        </w:tc>
      </w:tr>
      <w:tr>
        <w:tc>
          <w:tcPr>
            <w:tcW w:type="dxa" w:w="4320"/>
          </w:tcPr>
          <w:p>
            <w:r>
              <w:t>CP1_DV</w:t>
            </w:r>
          </w:p>
        </w:tc>
        <w:tc>
          <w:tcPr>
            <w:tcW w:type="dxa" w:w="4320"/>
          </w:tcPr>
          <w:p>
            <w:r>
              <w:t>Cargo Pump 1 Discharge Valve</w:t>
            </w:r>
          </w:p>
        </w:tc>
      </w:tr>
      <w:tr>
        <w:tc>
          <w:tcPr>
            <w:tcW w:type="dxa" w:w="4320"/>
          </w:tcPr>
          <w:p>
            <w:r>
              <w:t>CP2_DV</w:t>
            </w:r>
          </w:p>
        </w:tc>
        <w:tc>
          <w:tcPr>
            <w:tcW w:type="dxa" w:w="4320"/>
          </w:tcPr>
          <w:p>
            <w:r>
              <w:t>Cargo Pump 2 Discharge Valve</w:t>
            </w:r>
          </w:p>
        </w:tc>
      </w:tr>
      <w:tr>
        <w:tc>
          <w:tcPr>
            <w:tcW w:type="dxa" w:w="4320"/>
          </w:tcPr>
          <w:p>
            <w:r>
              <w:t>CP3_DV</w:t>
            </w:r>
          </w:p>
        </w:tc>
        <w:tc>
          <w:tcPr>
            <w:tcW w:type="dxa" w:w="4320"/>
          </w:tcPr>
          <w:p>
            <w:r>
              <w:t>Cargo Pump 3 Discharge Valve</w:t>
            </w:r>
          </w:p>
        </w:tc>
      </w:tr>
      <w:tr>
        <w:tc>
          <w:tcPr>
            <w:tcW w:type="dxa" w:w="4320"/>
          </w:tcPr>
          <w:p>
            <w:r>
              <w:t>LH_XV</w:t>
            </w:r>
          </w:p>
        </w:tc>
        <w:tc>
          <w:tcPr>
            <w:tcW w:type="dxa" w:w="4320"/>
          </w:tcPr>
          <w:p>
            <w:r>
              <w:t>Liquid Header Crossover</w:t>
            </w:r>
          </w:p>
        </w:tc>
      </w:tr>
      <w:tr>
        <w:tc>
          <w:tcPr>
            <w:tcW w:type="dxa" w:w="4320"/>
          </w:tcPr>
          <w:p>
            <w:r>
              <w:t>MAN_P</w:t>
            </w:r>
          </w:p>
        </w:tc>
        <w:tc>
          <w:tcPr>
            <w:tcW w:type="dxa" w:w="4320"/>
          </w:tcPr>
          <w:p>
            <w:r>
              <w:t>Port Manifold Isolation Valve</w:t>
            </w:r>
          </w:p>
        </w:tc>
      </w:tr>
      <w:tr>
        <w:tc>
          <w:tcPr>
            <w:tcW w:type="dxa" w:w="4320"/>
          </w:tcPr>
          <w:p>
            <w:r>
              <w:t>MAN_S</w:t>
            </w:r>
          </w:p>
        </w:tc>
        <w:tc>
          <w:tcPr>
            <w:tcW w:type="dxa" w:w="4320"/>
          </w:tcPr>
          <w:p>
            <w:r>
              <w:t>Stbd Manifold Isolation Valve</w:t>
            </w:r>
          </w:p>
        </w:tc>
      </w:tr>
      <w:tr>
        <w:tc>
          <w:tcPr>
            <w:tcW w:type="dxa" w:w="4320"/>
          </w:tcPr>
          <w:p>
            <w:r>
              <w:t>VRL_MAN</w:t>
            </w:r>
          </w:p>
        </w:tc>
        <w:tc>
          <w:tcPr>
            <w:tcW w:type="dxa" w:w="4320"/>
          </w:tcPr>
          <w:p>
            <w:r>
              <w:t>Vapour Return Line Manifold</w:t>
            </w:r>
          </w:p>
        </w:tc>
      </w:tr>
      <w:tr>
        <w:tc>
          <w:tcPr>
            <w:tcW w:type="dxa" w:w="4320"/>
          </w:tcPr>
          <w:p>
            <w:r>
              <w:t>VL_XV</w:t>
            </w:r>
          </w:p>
        </w:tc>
        <w:tc>
          <w:tcPr>
            <w:tcW w:type="dxa" w:w="4320"/>
          </w:tcPr>
          <w:p>
            <w:r>
              <w:t>Vapour Line Crossover Valve</w:t>
            </w:r>
          </w:p>
        </w:tc>
      </w:tr>
      <w:tr>
        <w:tc>
          <w:tcPr>
            <w:tcW w:type="dxa" w:w="4320"/>
          </w:tcPr>
          <w:p>
            <w:r>
              <w:t>SP_HV</w:t>
            </w:r>
          </w:p>
        </w:tc>
        <w:tc>
          <w:tcPr>
            <w:tcW w:type="dxa" w:w="4320"/>
          </w:tcPr>
          <w:p>
            <w:r>
              <w:t>Spray Header Isolation Valve</w:t>
            </w:r>
          </w:p>
        </w:tc>
      </w:tr>
      <w:tr>
        <w:tc>
          <w:tcPr>
            <w:tcW w:type="dxa" w:w="4320"/>
          </w:tcPr>
          <w:p>
            <w:r>
              <w:t>STRIP_IV</w:t>
            </w:r>
          </w:p>
        </w:tc>
        <w:tc>
          <w:tcPr>
            <w:tcW w:type="dxa" w:w="4320"/>
          </w:tcPr>
          <w:p>
            <w:r>
              <w:t>Stripping Line Isolation</w:t>
            </w:r>
          </w:p>
        </w:tc>
      </w:tr>
      <w:tr>
        <w:tc>
          <w:tcPr>
            <w:tcW w:type="dxa" w:w="4320"/>
          </w:tcPr>
          <w:p>
            <w:r>
              <w:t>IG_DV</w:t>
            </w:r>
          </w:p>
        </w:tc>
        <w:tc>
          <w:tcPr>
            <w:tcW w:type="dxa" w:w="4320"/>
          </w:tcPr>
          <w:p>
            <w:r>
              <w:t>IG/N₂ Deck Main Valve</w:t>
            </w:r>
          </w:p>
        </w:tc>
      </w:tr>
      <w:tr>
        <w:tc>
          <w:tcPr>
            <w:tcW w:type="dxa" w:w="4320"/>
          </w:tcPr>
          <w:p>
            <w:r>
              <w:t>IG_XV</w:t>
            </w:r>
          </w:p>
        </w:tc>
        <w:tc>
          <w:tcPr>
            <w:tcW w:type="dxa" w:w="4320"/>
          </w:tcPr>
          <w:p>
            <w:r>
              <w:t>IG Crossover Valve</w:t>
            </w:r>
          </w:p>
        </w:tc>
      </w:tr>
    </w:tbl>
    <w:p>
      <w:pPr>
        <w:pStyle w:val="Heading1"/>
      </w:pPr>
      <w:r>
        <w:t>5. Training Scenarios</w:t>
      </w:r>
    </w:p>
    <w:p>
      <w:r>
        <w:t>Scenario information will be displayed in the simulator modal on launch. Follow the on-screen checklist to complete each training objective.</w:t>
      </w:r>
    </w:p>
    <w:p>
      <w:pPr>
        <w:pStyle w:val="Heading1"/>
      </w:pPr>
      <w:r>
        <w:t>6. Emergency Procedures</w:t>
      </w:r>
    </w:p>
    <w:p>
      <w:r>
        <w:t>When an alarm condition occurs:</w:t>
      </w:r>
    </w:p>
    <w:p>
      <w:r>
        <w:rPr>
          <w:b/>
        </w:rPr>
        <w:t xml:space="preserve">1. </w:t>
      </w:r>
      <w:r>
        <w:t>Identify the alarm in the Alarm Management panel (right side).</w:t>
      </w:r>
    </w:p>
    <w:p>
      <w:r>
        <w:rPr>
          <w:b/>
        </w:rPr>
        <w:t xml:space="preserve">2. </w:t>
      </w:r>
      <w:r>
        <w:t>Acknowledge the alarm by clicking on it.</w:t>
      </w:r>
    </w:p>
    <w:p>
      <w:r>
        <w:rPr>
          <w:b/>
        </w:rPr>
        <w:t xml:space="preserve">3. </w:t>
      </w:r>
      <w:r>
        <w:t>Assess the severity: WARNING (amber) requires monitoring; ALARM (red) requires immediate action.</w:t>
      </w:r>
    </w:p>
    <w:p>
      <w:r>
        <w:rPr>
          <w:b/>
        </w:rPr>
        <w:t xml:space="preserve">4. </w:t>
      </w:r>
      <w:r>
        <w:t>If Emergency Shutdown (ESD) is required, press the ESD button.</w:t>
      </w:r>
    </w:p>
    <w:p>
      <w:r>
        <w:rPr>
          <w:b/>
        </w:rPr>
        <w:t xml:space="preserve">5. </w:t>
      </w:r>
      <w:r>
        <w:t>Follow the scenario checklist for step-by-step response.</w:t>
      </w:r>
    </w:p>
    <w:p>
      <w:r>
        <w:rPr>
          <w:b/>
        </w:rPr>
        <w:t xml:space="preserve">6. </w:t>
      </w:r>
      <w:r>
        <w:t>After resolving the condition, use the RESET button to restore normal operations.</w:t>
      </w:r>
    </w:p>
    <w:p>
      <w:pPr>
        <w:pStyle w:val="Heading1"/>
      </w:pPr>
      <w:r>
        <w:t>7. Reference Documentation</w:t>
      </w:r>
    </w:p>
    <w:p>
      <w:pPr>
        <w:pStyle w:val="Heading2"/>
      </w:pPr>
      <w:r>
        <w:t>01 LNG Tanker Reference</w:t>
      </w:r>
    </w:p>
    <w:p>
      <w:pPr>
        <w:pStyle w:val="Heading2"/>
      </w:pPr>
      <w:r>
        <w:t>LNG Tanker Cargo Simulator — Regulatory Reference</w:t>
      </w:r>
    </w:p>
    <w:p>
      <w:pPr>
        <w:pStyle w:val="Heading3"/>
      </w:pPr>
      <w:r>
        <w:t>IGC Code 2016 · STCW V/1-2 · SIGTTO · BOG Management · −162°C Cryogenic Operations</w:t>
      </w:r>
    </w:p>
    <w:p>
      <w:r>
        <w:t>---</w:t>
      </w:r>
    </w:p>
    <w:p>
      <w:pPr>
        <w:pStyle w:val="Heading3"/>
      </w:pPr>
      <w:r>
        <w:t>1. Regulatory Framework</w:t>
      </w:r>
    </w:p>
    <w:p>
      <w:r>
        <w:t>| Regulation | Key Requirement |</w:t>
      </w:r>
    </w:p>
    <w:p>
      <w:r>
        <w:t>|-----------|----------------|</w:t>
      </w:r>
    </w:p>
    <w:p>
      <w:r>
        <w:t>| **IGC Code** (IMO MSC.391(95), 2016) | Construction, equipment &amp; ops for all gas carriers |</w:t>
      </w:r>
    </w:p>
    <w:p>
      <w:r>
        <w:t>| **SOLAS Ch. VII Part C** | Ships carrying liquefied gases in bulk |</w:t>
      </w:r>
    </w:p>
    <w:p>
      <w:r>
        <w:t>| **STCW V/1-2** | Advanced training for liquefied gas tanker cargo ops |</w:t>
      </w:r>
    </w:p>
    <w:p>
      <w:r>
        <w:t>| **SIGTTO Ship/Shore Safety Checklist** | Mandatory before every transfer operation |</w:t>
      </w:r>
    </w:p>
    <w:p>
      <w:r>
        <w:t>| **ISGOTT** (where applicable) | Industry supplement for operational guidance |</w:t>
      </w:r>
    </w:p>
    <w:p>
      <w:r>
        <w:t>| **MARPOL Annex I** | ORB / cargo record keeping |</w:t>
      </w:r>
    </w:p>
    <w:p>
      <w:r>
        <w:t>| **BWM Convention** | D-2 standard ballast water |</w:t>
      </w:r>
    </w:p>
    <w:p>
      <w:r>
        <w:t>---</w:t>
      </w:r>
    </w:p>
    <w:p>
      <w:pPr>
        <w:pStyle w:val="Heading3"/>
      </w:pPr>
      <w:r>
        <w:t>2. LNG Tanker Types &amp; Containment Systems</w:t>
      </w:r>
    </w:p>
    <w:p>
      <w:pPr>
        <w:pStyle w:val="Heading4"/>
      </w:pPr>
      <w:r>
        <w:t>Membrane Tanks (GTT Mark III / NO96)</w:t>
      </w:r>
    </w:p>
    <w:p>
      <w:pPr>
        <w:pStyle w:val="ListBullet"/>
        <w:spacing w:after="40"/>
      </w:pPr>
      <w:r>
        <w:t>Non-self-supporting — loads transmitted through insulation to inner hull</w:t>
      </w:r>
    </w:p>
    <w:p>
      <w:pPr>
        <w:pStyle w:val="ListBullet"/>
        <w:spacing w:after="40"/>
      </w:pPr>
      <w:r>
        <w:t>Primary barrier: 0.7mm corrugated stainless steel (Mark III) or Invar alloy (NO96)</w:t>
      </w:r>
    </w:p>
    <w:p>
      <w:pPr>
        <w:pStyle w:val="ListBullet"/>
        <w:spacing w:after="40"/>
      </w:pPr>
      <w:r>
        <w:t>Insulation: polyurethane foam + reinforced panels</w:t>
      </w:r>
    </w:p>
    <w:p>
      <w:pPr>
        <w:pStyle w:val="ListBullet"/>
        <w:spacing w:after="40"/>
      </w:pPr>
      <w:r>
        <w:t>Secondary barrier: integrated into insulation system</w:t>
      </w:r>
    </w:p>
    <w:p>
      <w:pPr>
        <w:pStyle w:val="ListBullet"/>
        <w:spacing w:after="40"/>
      </w:pPr>
      <w:r>
        <w:t>BOG: 0.10–0.15%/day typical; GTT NEXT1 (2024) improved to ~0.085%/day</w:t>
      </w:r>
    </w:p>
    <w:p>
      <w:pPr>
        <w:pStyle w:val="ListBullet"/>
        <w:spacing w:after="40"/>
      </w:pPr>
      <w:r>
        <w:t>Operating pressure: atmospheric ± small positive</w:t>
      </w:r>
    </w:p>
    <w:p>
      <w:pPr>
        <w:pStyle w:val="ListBullet"/>
        <w:spacing w:after="40"/>
      </w:pPr>
      <w:r>
        <w:t>Typical capacity: 125,000–216,000 m³ (Q-Flex/Q-Max up to 266,000 m³)</w:t>
      </w:r>
    </w:p>
    <w:p>
      <w:pPr>
        <w:pStyle w:val="Heading4"/>
      </w:pPr>
      <w:r>
        <w:t>Moss Spherical (Type B)</w:t>
      </w:r>
    </w:p>
    <w:p>
      <w:pPr>
        <w:pStyle w:val="ListBullet"/>
        <w:spacing w:after="40"/>
      </w:pPr>
      <w:r>
        <w:t>Self-supporting aluminium spheres on cylindrical skirt</w:t>
      </w:r>
    </w:p>
    <w:p>
      <w:pPr>
        <w:pStyle w:val="ListBullet"/>
        <w:spacing w:after="40"/>
      </w:pPr>
      <w:r>
        <w:t>Independent from hull — no contribution to hull strength</w:t>
      </w:r>
    </w:p>
    <w:p>
      <w:pPr>
        <w:pStyle w:val="ListBullet"/>
        <w:spacing w:after="40"/>
      </w:pPr>
      <w:r>
        <w:t>BOG: ~0.12%/day</w:t>
      </w:r>
    </w:p>
    <w:p>
      <w:pPr>
        <w:pStyle w:val="ListBullet"/>
        <w:spacing w:after="40"/>
      </w:pPr>
      <w:r>
        <w:t>Weather cover above deck; spray shield at equator</w:t>
      </w:r>
    </w:p>
    <w:p>
      <w:pPr>
        <w:pStyle w:val="ListBullet"/>
        <w:spacing w:after="40"/>
      </w:pPr>
      <w:r>
        <w:t>Typical capacity: 125,000–138,000 m³</w:t>
      </w:r>
    </w:p>
    <w:p>
      <w:pPr>
        <w:pStyle w:val="Heading4"/>
      </w:pPr>
      <w:r>
        <w:t>Key Material Requirements (IGC Code)</w:t>
      </w:r>
    </w:p>
    <w:p>
      <w:pPr>
        <w:pStyle w:val="ListBullet"/>
        <w:spacing w:after="40"/>
      </w:pPr>
      <w:r>
        <w:t>LNG at −162°C requires: **Invar (36% nickel)**, **stainless steel 304L/316L**, or **aluminium 5083/5086**</w:t>
      </w:r>
    </w:p>
    <w:p>
      <w:pPr>
        <w:pStyle w:val="ListBullet"/>
        <w:spacing w:after="40"/>
      </w:pPr>
      <w:r>
        <w:t>Carbon steel: NOT PERMITTED for any surface in contact with LNG</w:t>
      </w:r>
    </w:p>
    <w:p>
      <w:pPr>
        <w:pStyle w:val="ListBullet"/>
        <w:spacing w:after="40"/>
      </w:pPr>
      <w:r>
        <w:t>Secondary barrier material must withstand −163°C</w:t>
      </w:r>
    </w:p>
    <w:p>
      <w:r>
        <w:t>---</w:t>
      </w:r>
    </w:p>
    <w:p>
      <w:pPr>
        <w:pStyle w:val="Heading3"/>
      </w:pPr>
      <w:r>
        <w:t>3. BOG Management — IGC Code Requirement</w:t>
      </w:r>
    </w:p>
    <w:p>
      <w:r>
        <w:t>IGC Code requires TWO independent means of managing excess vapour.</w:t>
      </w:r>
    </w:p>
    <w:p>
      <w:r>
        <w:t>| Method | Description | When Used |</w:t>
      </w:r>
    </w:p>
    <w:p>
      <w:r>
        <w:t>|--------|-------------|----------|</w:t>
      </w:r>
    </w:p>
    <w:p>
      <w:r>
        <w:t>| **Reliquefaction plant** | N₂ refrigerant compresses BOG → condenses → returns to tank | Primary — laden passage |</w:t>
      </w:r>
    </w:p>
    <w:p>
      <w:r>
        <w:t>| **GCU (Gas Combustion Unit)** | Burns BOG as waste heat | When BOG &gt; reliq capacity, or reliq fails |</w:t>
      </w:r>
    </w:p>
    <w:p>
      <w:r>
        <w:t>| **DFDE engine fuel** | Burns BOG in dual-fuel diesel-electric engines | During propulsion operations |</w:t>
      </w:r>
    </w:p>
    <w:p>
      <w:r>
        <w:t>| **LD compressor → boiler** | Steam turbine plants: BOG to boilers | Traditional steam plants |</w:t>
      </w:r>
    </w:p>
    <w:p>
      <w:r>
        <w:t>| **Vent mast** | Emergency release only | Last resort — no other option |</w:t>
      </w:r>
    </w:p>
    <w:p>
      <w:r>
        <w:t>BOG rates:</w:t>
      </w:r>
    </w:p>
    <w:p>
      <w:pPr>
        <w:pStyle w:val="ListBullet"/>
        <w:spacing w:after="40"/>
      </w:pPr>
      <w:r>
        <w:t>Normal laden: 0.07–0.15% cargo volume/day</w:t>
      </w:r>
    </w:p>
    <w:p>
      <w:pPr>
        <w:pStyle w:val="ListBullet"/>
        <w:spacing w:after="40"/>
      </w:pPr>
      <w:r>
        <w:t>High sea state / high temp: up to 0.20%/day</w:t>
      </w:r>
    </w:p>
    <w:p>
      <w:pPr>
        <w:pStyle w:val="ListBullet"/>
        <w:spacing w:after="40"/>
      </w:pPr>
      <w:r>
        <w:t>Reliq plant designed for: 0.15%/day + safety margin</w:t>
      </w:r>
    </w:p>
    <w:p>
      <w:pPr>
        <w:pStyle w:val="ListBullet"/>
        <w:spacing w:after="40"/>
      </w:pPr>
      <w:r>
        <w:t>If BOG exceeds reliq capacity: GCU automatically activated</w:t>
      </w:r>
    </w:p>
    <w:p>
      <w:r>
        <w:t>Condensate Return Plan:</w:t>
      </w:r>
    </w:p>
    <w:p>
      <w:pPr>
        <w:pStyle w:val="ListBullet"/>
        <w:spacing w:after="40"/>
      </w:pPr>
      <w:r>
        <w:t>Reliquefied LNG returned to cargo tanks via condensate return line (bottom spray)</w:t>
      </w:r>
    </w:p>
    <w:p>
      <w:pPr>
        <w:pStyle w:val="ListBullet"/>
        <w:spacing w:after="40"/>
      </w:pPr>
      <w:r>
        <w:t>Must monitor tank levels — reliq can slowly fill a tank beyond maximum</w:t>
      </w:r>
    </w:p>
    <w:p>
      <w:pPr>
        <w:pStyle w:val="ListBullet"/>
        <w:spacing w:after="40"/>
      </w:pPr>
      <w:r>
        <w:t>Tank level must not exceed operational maximum (typically 98.5%)</w:t>
      </w:r>
    </w:p>
    <w:p>
      <w:r>
        <w:t>---</w:t>
      </w:r>
    </w:p>
    <w:p>
      <w:pPr>
        <w:pStyle w:val="Heading3"/>
      </w:pPr>
      <w:r>
        <w:t>4. Full Lifecycle — Dry Dock to Dry Dock</w:t>
      </w:r>
    </w:p>
    <w:p>
      <w:pPr>
        <w:pStyle w:val="Heading4"/>
      </w:pPr>
      <w:r>
        <w:t>Phase 1: Dry Dock</w:t>
      </w:r>
    </w:p>
    <w:p>
      <w:pPr>
        <w:pStyle w:val="ListBullet"/>
        <w:spacing w:after="40"/>
      </w:pPr>
      <w:r>
        <w:t>Cold-spot inspection: all hold spaces, cofferdams, interbarrier spaces</w:t>
      </w:r>
    </w:p>
    <w:p>
      <w:pPr>
        <w:pStyle w:val="ListBullet"/>
        <w:spacing w:after="40"/>
      </w:pPr>
      <w:r>
        <w:t>Class requirement: once per year minimum — divide into zones</w:t>
      </w:r>
    </w:p>
    <w:p>
      <w:pPr>
        <w:pStyle w:val="ListBullet"/>
        <w:spacing w:after="40"/>
      </w:pPr>
      <w:r>
        <w:t>Cargo pump overhaul (deepwell submersible)</w:t>
      </w:r>
    </w:p>
    <w:p>
      <w:pPr>
        <w:pStyle w:val="ListBullet"/>
        <w:spacing w:after="40"/>
      </w:pPr>
      <w:r>
        <w:t>Compressor shaft seal inspection — N₂ pressurisation system</w:t>
      </w:r>
    </w:p>
    <w:p>
      <w:pPr>
        <w:pStyle w:val="ListBullet"/>
        <w:spacing w:after="40"/>
      </w:pPr>
      <w:r>
        <w:t>Reliquefaction plant overhaul</w:t>
      </w:r>
    </w:p>
    <w:p>
      <w:pPr>
        <w:pStyle w:val="ListBullet"/>
        <w:spacing w:after="40"/>
      </w:pPr>
      <w:r>
        <w:t>IGC Certificate of Fitness renewal</w:t>
      </w:r>
    </w:p>
    <w:p>
      <w:pPr>
        <w:pStyle w:val="ListBullet"/>
        <w:spacing w:after="40"/>
      </w:pPr>
      <w:r>
        <w:t>Any permanent deformation of membrane recorded and reported to class</w:t>
      </w:r>
    </w:p>
    <w:p>
      <w:pPr>
        <w:pStyle w:val="Heading4"/>
      </w:pPr>
      <w:r>
        <w:t>Phase 2: Gas Freeing (before entry)</w:t>
      </w:r>
    </w:p>
    <w:p>
      <w:pPr>
        <w:pStyle w:val="ListBullet"/>
        <w:spacing w:after="40"/>
      </w:pPr>
      <w:r>
        <w:t>LNG cargo remaining (heel) must first be warmed and vented</w:t>
      </w:r>
    </w:p>
    <w:p>
      <w:pPr>
        <w:pStyle w:val="ListBullet"/>
        <w:spacing w:after="40"/>
      </w:pPr>
      <w:r>
        <w:t>HC reduced to &lt; 1% LEL — portable detectors at 3 levels</w:t>
      </w:r>
    </w:p>
    <w:p>
      <w:pPr>
        <w:pStyle w:val="ListBullet"/>
        <w:spacing w:after="40"/>
      </w:pPr>
      <w:r>
        <w:t>O₂ raised to 20.8% — confirm natural air composition</w:t>
      </w:r>
    </w:p>
    <w:p>
      <w:pPr>
        <w:pStyle w:val="ListBullet"/>
        <w:spacing w:after="40"/>
      </w:pPr>
      <w:r>
        <w:t>Entry certificate issued by Master</w:t>
      </w:r>
    </w:p>
    <w:p>
      <w:pPr>
        <w:pStyle w:val="ListBullet"/>
        <w:spacing w:after="40"/>
      </w:pPr>
      <w:r>
        <w:t>SCBA on standby at every tank entry point</w:t>
      </w:r>
    </w:p>
    <w:p>
      <w:pPr>
        <w:pStyle w:val="ListBullet"/>
        <w:spacing w:after="40"/>
      </w:pPr>
      <w:r>
        <w:t>For man-entry: minimum 2 persons, rescue equipment at entry point</w:t>
      </w:r>
    </w:p>
    <w:p>
      <w:pPr>
        <w:pStyle w:val="Heading4"/>
      </w:pPr>
      <w:r>
        <w:t>Phase 3: Inerting</w:t>
      </w:r>
    </w:p>
    <w:p>
      <w:r>
        <w:t>IGC Code requirement: tanks must be in inert condition before gassing-up.</w:t>
      </w:r>
    </w:p>
    <w:p>
      <w:pPr>
        <w:pStyle w:val="ListBullet"/>
        <w:spacing w:after="40"/>
      </w:pPr>
      <w:r>
        <w:t>N₂ generator or inert gas generator (IGG) supplies inert gas</w:t>
      </w:r>
    </w:p>
    <w:p>
      <w:pPr>
        <w:pStyle w:val="ListBullet"/>
        <w:spacing w:after="40"/>
      </w:pPr>
      <w:r>
        <w:t>Purge until O₂ &lt; 2% vol in all tanks and associated pipework</w:t>
      </w:r>
    </w:p>
    <w:p>
      <w:pPr>
        <w:pStyle w:val="ListBullet"/>
        <w:spacing w:after="40"/>
      </w:pPr>
      <w:r>
        <w:t>O₂ analyser calibrated daily during inerting operations</w:t>
      </w:r>
    </w:p>
    <w:p>
      <w:pPr>
        <w:pStyle w:val="ListBullet"/>
        <w:spacing w:after="40"/>
      </w:pPr>
      <w:r>
        <w:t>Record all O₂ readings in Cargo Record Book (CRB)</w:t>
      </w:r>
    </w:p>
    <w:p>
      <w:pPr>
        <w:pStyle w:val="Heading4"/>
      </w:pPr>
      <w:r>
        <w:t>Phase 4: Gassing-Up</w:t>
      </w:r>
    </w:p>
    <w:p>
      <w:pPr>
        <w:pStyle w:val="ListBullet"/>
        <w:spacing w:after="40"/>
      </w:pPr>
      <w:r>
        <w:t>Introduction of LNG vapour to displace N₂</w:t>
      </w:r>
    </w:p>
    <w:p>
      <w:pPr>
        <w:pStyle w:val="ListBullet"/>
        <w:spacing w:after="40"/>
      </w:pPr>
      <w:r>
        <w:t>HD (High Duty) compressor circulates vapour from shore or heel</w:t>
      </w:r>
    </w:p>
    <w:p>
      <w:pPr>
        <w:pStyle w:val="ListBullet"/>
        <w:spacing w:after="40"/>
      </w:pPr>
      <w:r>
        <w:t>HC content must reach &gt; 90% vol (vapour-rich condition)</w:t>
      </w:r>
    </w:p>
    <w:p>
      <w:pPr>
        <w:pStyle w:val="ListBullet"/>
        <w:spacing w:after="40"/>
      </w:pPr>
      <w:r>
        <w:t>Purpose: condition tanks for liquid LNG loading — prevent hydrate formation</w:t>
      </w:r>
    </w:p>
    <w:p>
      <w:pPr>
        <w:pStyle w:val="ListBullet"/>
        <w:spacing w:after="40"/>
      </w:pPr>
      <w:r>
        <w:t>Hydrate inhibitors (methanol) may be used if moisture suspected</w:t>
      </w:r>
    </w:p>
    <w:p>
      <w:pPr>
        <w:pStyle w:val="Heading4"/>
      </w:pPr>
      <w:r>
        <w:t>Phase 5: Cool-Down</w:t>
      </w:r>
    </w:p>
    <w:p>
      <w:r>
        <w:t>Critical procedure — membrane integrity depends on controlled cooling.</w:t>
      </w:r>
    </w:p>
    <w:p>
      <w:pPr>
        <w:pStyle w:val="ListBullet"/>
        <w:spacing w:after="40"/>
      </w:pPr>
      <w:r>
        <w:t>Spray pumps deliver LNG through dome spray nozzles</w:t>
      </w:r>
    </w:p>
    <w:p>
      <w:pPr>
        <w:pStyle w:val="ListBullet"/>
        <w:spacing w:after="40"/>
      </w:pPr>
      <w:r>
        <w:t>Cooling rate must not exceed **10°C per hour**</w:t>
      </w:r>
    </w:p>
    <w:p>
      <w:pPr>
        <w:pStyle w:val="ListBullet"/>
        <w:spacing w:after="40"/>
      </w:pPr>
      <w:r>
        <w:t>Exceeding 10°C/hr risks thermal stress fracture of membrane</w:t>
      </w:r>
    </w:p>
    <w:p>
      <w:pPr>
        <w:pStyle w:val="ListBullet"/>
        <w:spacing w:after="40"/>
      </w:pPr>
      <w:r>
        <w:t>Monitor 3 temperature points in each tank (top, middle, bottom)</w:t>
      </w:r>
    </w:p>
    <w:p>
      <w:pPr>
        <w:pStyle w:val="ListBullet"/>
        <w:spacing w:after="40"/>
      </w:pPr>
      <w:r>
        <w:t>Target: all tanks at −160°C minimum before commencing liquid loading</w:t>
      </w:r>
    </w:p>
    <w:p>
      <w:pPr>
        <w:pStyle w:val="ListBullet"/>
        <w:spacing w:after="40"/>
      </w:pPr>
      <w:r>
        <w:t>Cool-down takes approximately 24–48 hours for large LNGC</w:t>
      </w:r>
    </w:p>
    <w:p>
      <w:pPr>
        <w:pStyle w:val="Heading4"/>
      </w:pPr>
      <w:r>
        <w:t>Phase 6: Loading Port</w:t>
      </w:r>
    </w:p>
    <w:p>
      <w:r>
        <w:t>SIGTTO Ship/Shore Safety Checklist — 135-point checklist before any transfer.</w:t>
      </w:r>
    </w:p>
    <w:p>
      <w:r>
        <w:t>Loading procedure:</w:t>
      </w:r>
    </w:p>
    <w:p>
      <w:pPr>
        <w:pStyle w:val="ListBullet"/>
        <w:spacing w:after="40"/>
      </w:pPr>
      <w:r>
        <w:t>Initial flow rate: low (to prevent thermal shock to loading arms)</w:t>
      </w:r>
    </w:p>
    <w:p>
      <w:pPr>
        <w:pStyle w:val="ListBullet"/>
        <w:spacing w:after="40"/>
      </w:pPr>
      <w:r>
        <w:t>BOG generated goes to: HD compressor → shore vapour header (or GCU)</w:t>
      </w:r>
    </w:p>
    <w:p>
      <w:pPr>
        <w:pStyle w:val="ListBullet"/>
        <w:spacing w:after="40"/>
      </w:pPr>
      <w:r>
        <w:t>Tank filling: lower tanks first (reduces sloshing risk)</w:t>
      </w:r>
    </w:p>
    <w:p>
      <w:pPr>
        <w:pStyle w:val="ListBullet"/>
        <w:spacing w:after="40"/>
      </w:pPr>
      <w:r>
        <w:t>Vapour return line: mandatory — shore must accept vapour</w:t>
      </w:r>
    </w:p>
    <w:p>
      <w:pPr>
        <w:pStyle w:val="ListBullet"/>
        <w:spacing w:after="40"/>
      </w:pPr>
      <w:r>
        <w:t>Maximum loading rate: ~12,000 m³/hr for 216,000 m³ LNGC</w:t>
      </w:r>
    </w:p>
    <w:p>
      <w:pPr>
        <w:pStyle w:val="ListBullet"/>
        <w:spacing w:after="40"/>
      </w:pPr>
      <w:r>
        <w:t>Stop loading 2% below 100% fill — sloshing damage risk</w:t>
      </w:r>
    </w:p>
    <w:p>
      <w:r>
        <w:t>ESD System:</w:t>
      </w:r>
    </w:p>
    <w:p>
      <w:pPr>
        <w:pStyle w:val="ListBullet"/>
        <w:spacing w:after="40"/>
      </w:pPr>
      <w:r>
        <w:t>Ship and shore ESD linked before transfer commences</w:t>
      </w:r>
    </w:p>
    <w:p>
      <w:pPr>
        <w:pStyle w:val="ListBullet"/>
        <w:spacing w:after="40"/>
      </w:pPr>
      <w:r>
        <w:t>ESD test before every operation</w:t>
      </w:r>
    </w:p>
    <w:p>
      <w:pPr>
        <w:pStyle w:val="ListBullet"/>
        <w:spacing w:after="40"/>
      </w:pPr>
      <w:r>
        <w:t>Two independent ESD systems required (IGC Code)</w:t>
      </w:r>
    </w:p>
    <w:p>
      <w:pPr>
        <w:pStyle w:val="ListBullet"/>
        <w:spacing w:after="40"/>
      </w:pPr>
      <w:r>
        <w:t>ESD closes all cargo valves, stops pumps and compressors</w:t>
      </w:r>
    </w:p>
    <w:p>
      <w:pPr>
        <w:pStyle w:val="ListBullet"/>
        <w:spacing w:after="40"/>
      </w:pPr>
      <w:r>
        <w:t>ESD response time: ≤ 30 seconds</w:t>
      </w:r>
    </w:p>
    <w:p>
      <w:pPr>
        <w:pStyle w:val="Heading4"/>
      </w:pPr>
      <w:r>
        <w:t>Phase 7: Laden Sea Passage</w:t>
      </w:r>
    </w:p>
    <w:p>
      <w:pPr>
        <w:pStyle w:val="ListBullet"/>
        <w:spacing w:after="40"/>
      </w:pPr>
      <w:r>
        <w:t>BOG management strategy determined by charter/operational economics</w:t>
      </w:r>
    </w:p>
    <w:p>
      <w:pPr>
        <w:pStyle w:val="ListBullet"/>
        <w:spacing w:after="40"/>
      </w:pPr>
      <w:r>
        <w:t>Cold-spot inspection: all interbarrier and hold spaces — every laden voyage</w:t>
      </w:r>
    </w:p>
    <w:p>
      <w:pPr>
        <w:pStyle w:val="ListBullet"/>
        <w:spacing w:after="40"/>
      </w:pPr>
      <w:r>
        <w:t>Brittle fracture risk: structural steel at low temperature — monitor cold spots</w:t>
      </w:r>
    </w:p>
    <w:p>
      <w:pPr>
        <w:pStyle w:val="ListBullet"/>
        <w:spacing w:after="40"/>
      </w:pPr>
      <w:r>
        <w:t>Condensate return plan: prevent tank overflow from reliquefied return</w:t>
      </w:r>
    </w:p>
    <w:p>
      <w:pPr>
        <w:pStyle w:val="ListBullet"/>
        <w:spacing w:after="40"/>
      </w:pPr>
      <w:r>
        <w:t>Rollover prevention: monitor cargo density stratification</w:t>
      </w:r>
    </w:p>
    <w:p>
      <w:r>
        <w:t xml:space="preserve">  - Rollover: two stratified layers mix spontaneously → rapid BOG generation</w:t>
      </w:r>
    </w:p>
    <w:p>
      <w:r>
        <w:t xml:space="preserve">  - Caused by: different cargo sources/densities, weathering, temperature gradients</w:t>
      </w:r>
    </w:p>
    <w:p>
      <w:r>
        <w:t xml:space="preserve">  - Prevention: circulate cargo between tanks, monitor density at top and bottom</w:t>
      </w:r>
    </w:p>
    <w:p>
      <w:pPr>
        <w:pStyle w:val="ListBullet"/>
        <w:spacing w:after="40"/>
      </w:pPr>
      <w:r>
        <w:t>4-hour watch gauging: all tanks, temperatures, pressures</w:t>
      </w:r>
    </w:p>
    <w:p>
      <w:pPr>
        <w:pStyle w:val="Heading4"/>
      </w:pPr>
      <w:r>
        <w:t>Phase 8: Discharge Port</w:t>
      </w:r>
    </w:p>
    <w:p>
      <w:pPr>
        <w:pStyle w:val="ListBullet"/>
        <w:spacing w:after="40"/>
      </w:pPr>
      <w:r>
        <w:t>Deepwell submersible pumps: no cargo pump room (IGC Code — no cargo pumps below deck)</w:t>
      </w:r>
    </w:p>
    <w:p>
      <w:pPr>
        <w:pStyle w:val="ListBullet"/>
        <w:spacing w:after="40"/>
      </w:pPr>
      <w:r>
        <w:t>Vaporiser: converts LNG to gas for shore send-out piping</w:t>
      </w:r>
    </w:p>
    <w:p>
      <w:pPr>
        <w:pStyle w:val="ListBullet"/>
        <w:spacing w:after="40"/>
      </w:pPr>
      <w:r>
        <w:t>Heel management: retain minimum volume to keep tanks cold between voyages</w:t>
      </w:r>
    </w:p>
    <w:p>
      <w:r>
        <w:t xml:space="preserve">  - Typical heel: 0.5–2% of cargo capacity</w:t>
      </w:r>
    </w:p>
    <w:p>
      <w:r>
        <w:t xml:space="preserve">  - Purpose: avoids full cool-down requirement next voyage</w:t>
      </w:r>
    </w:p>
    <w:p>
      <w:pPr>
        <w:pStyle w:val="ListBullet"/>
        <w:spacing w:after="40"/>
      </w:pPr>
      <w:r>
        <w:t>Stripping: final removal of cargo — spray pump to lowest level</w:t>
      </w:r>
    </w:p>
    <w:p>
      <w:pPr>
        <w:pStyle w:val="ListBullet"/>
        <w:spacing w:after="40"/>
      </w:pPr>
      <w:r>
        <w:t>All CRB entries completed before departure</w:t>
      </w:r>
    </w:p>
    <w:p>
      <w:pPr>
        <w:pStyle w:val="Heading4"/>
      </w:pPr>
      <w:r>
        <w:t>Phase 9–11: Warm-Up, Gas Freeing, Ballast</w:t>
      </w:r>
    </w:p>
    <w:p>
      <w:pPr>
        <w:pStyle w:val="ListBullet"/>
        <w:spacing w:after="40"/>
      </w:pPr>
      <w:r>
        <w:t>Same procedures as pre-loading but in reverse</w:t>
      </w:r>
    </w:p>
    <w:p>
      <w:pPr>
        <w:pStyle w:val="ListBullet"/>
        <w:spacing w:after="40"/>
      </w:pPr>
      <w:r>
        <w:t>If drydock: full gas free → inert → warm tanks to ambient</w:t>
      </w:r>
    </w:p>
    <w:p>
      <w:r>
        <w:t>---</w:t>
      </w:r>
    </w:p>
    <w:p>
      <w:pPr>
        <w:pStyle w:val="Heading3"/>
      </w:pPr>
      <w:r>
        <w:t>5. Propulsion Systems</w:t>
      </w:r>
    </w:p>
    <w:p>
      <w:r>
        <w:t>| Type | Description | BOG Use |</w:t>
      </w:r>
    </w:p>
    <w:p>
      <w:r>
        <w:t>|------|-------------|---------|</w:t>
      </w:r>
    </w:p>
    <w:p>
      <w:r>
        <w:t>| **Steam turbine** | Traditional — two boilers | All BOG burned in boilers |</w:t>
      </w:r>
    </w:p>
    <w:p>
      <w:r>
        <w:t>| **DFDE** | Dual-Fuel Diesel-Electric | BOG via LD compressor to DF engines |</w:t>
      </w:r>
    </w:p>
    <w:p>
      <w:r>
        <w:t>| **ME-GI** | High-pressure gas injection diesel | BOG at 300 bar via HP compressor |</w:t>
      </w:r>
    </w:p>
    <w:p>
      <w:r>
        <w:t>| **TFDE** | Tri-Fuel Diesel-Electric | BOG + HFO + MDO capability |</w:t>
      </w:r>
    </w:p>
    <w:p>
      <w:r>
        <w:t>Methane slip: ME-GI has lowest slip (&lt;0.1 g/kWh); DFDE higher (~4 g/kWh). FuelEU Maritime and CII penalise methane slip (GWP×25).</w:t>
      </w:r>
    </w:p>
    <w:p>
      <w:r>
        <w:t>---</w:t>
      </w:r>
    </w:p>
    <w:p>
      <w:pPr>
        <w:pStyle w:val="Heading3"/>
      </w:pPr>
      <w:r>
        <w:t>6. Emergency Procedures</w:t>
      </w:r>
    </w:p>
    <w:p>
      <w:pPr>
        <w:pStyle w:val="Heading4"/>
      </w:pPr>
      <w:r>
        <w:t>Rollover</w:t>
      </w:r>
    </w:p>
    <w:p>
      <w:pPr>
        <w:pStyle w:val="ListBullet"/>
        <w:spacing w:after="40"/>
      </w:pPr>
      <w:r>
        <w:t>Signs: rapid pressure rise, temperature changes, unusual BOG generation</w:t>
      </w:r>
    </w:p>
    <w:p>
      <w:pPr>
        <w:pStyle w:val="ListBullet"/>
        <w:spacing w:after="40"/>
      </w:pPr>
      <w:r>
        <w:t>Actions: stop loading/discharge, activate GCU, circulate cargo between tanks</w:t>
      </w:r>
    </w:p>
    <w:p>
      <w:pPr>
        <w:pStyle w:val="ListBullet"/>
        <w:spacing w:after="40"/>
      </w:pPr>
      <w:r>
        <w:t>Prevention: homogeneous loading, avoid stratification</w:t>
      </w:r>
    </w:p>
    <w:p>
      <w:pPr>
        <w:pStyle w:val="Heading4"/>
      </w:pPr>
      <w:r>
        <w:t>Reliquefaction Plant Failure</w:t>
      </w:r>
    </w:p>
    <w:p>
      <w:pPr>
        <w:pStyle w:val="ListBullet"/>
        <w:spacing w:after="40"/>
      </w:pPr>
      <w:r>
        <w:t>GCU activates automatically</w:t>
      </w:r>
    </w:p>
    <w:p>
      <w:pPr>
        <w:pStyle w:val="ListBullet"/>
        <w:spacing w:after="40"/>
      </w:pPr>
      <w:r>
        <w:t>Reduce speed if BOG generation from propulsion can absorb excess BOG</w:t>
      </w:r>
    </w:p>
    <w:p>
      <w:pPr>
        <w:pStyle w:val="ListBullet"/>
        <w:spacing w:after="40"/>
      </w:pPr>
      <w:r>
        <w:t>Check N₂ refrigerant supply</w:t>
      </w:r>
    </w:p>
    <w:p>
      <w:pPr>
        <w:pStyle w:val="ListBullet"/>
        <w:spacing w:after="40"/>
      </w:pPr>
      <w:r>
        <w:t>Contact class/maker for repair guidance</w:t>
      </w:r>
    </w:p>
    <w:p>
      <w:pPr>
        <w:pStyle w:val="Heading4"/>
      </w:pPr>
      <w:r>
        <w:t>Cryogenic Fire</w:t>
      </w:r>
    </w:p>
    <w:p>
      <w:pPr>
        <w:pStyle w:val="ListBullet"/>
        <w:spacing w:after="40"/>
      </w:pPr>
      <w:r>
        <w:t>**DO NOT use water jet** — thermal shock risk to cryogenic structure</w:t>
      </w:r>
    </w:p>
    <w:p>
      <w:pPr>
        <w:pStyle w:val="ListBullet"/>
        <w:spacing w:after="40"/>
      </w:pPr>
      <w:r>
        <w:t>Dry powder or CO₂ for direct fire attack</w:t>
      </w:r>
    </w:p>
    <w:p>
      <w:pPr>
        <w:pStyle w:val="ListBullet"/>
        <w:spacing w:after="40"/>
      </w:pPr>
      <w:r>
        <w:t>Water curtain acceptable for boundary protection and cooling adjacent structure</w:t>
      </w:r>
    </w:p>
    <w:p>
      <w:pPr>
        <w:pStyle w:val="ListBullet"/>
        <w:spacing w:after="40"/>
      </w:pPr>
      <w:r>
        <w:t>BLEVE (Boiling Liquid Expanding Vapour Explosion) risk if fire impinges on tank</w:t>
      </w:r>
    </w:p>
    <w:p>
      <w:pPr>
        <w:pStyle w:val="ListBullet"/>
        <w:spacing w:after="40"/>
      </w:pPr>
      <w:r>
        <w:t>Evacuate area — large cold zone extends well beyond visible flame</w:t>
      </w:r>
    </w:p>
    <w:p>
      <w:pPr>
        <w:pStyle w:val="Heading4"/>
      </w:pPr>
      <w:r>
        <w:t>Gas Detection in Hold Space</w:t>
      </w:r>
    </w:p>
    <w:p>
      <w:pPr>
        <w:pStyle w:val="ListBullet"/>
        <w:spacing w:after="40"/>
      </w:pPr>
      <w:r>
        <w:t>Indicates possible primary barrier leak</w:t>
      </w:r>
    </w:p>
    <w:p>
      <w:pPr>
        <w:pStyle w:val="ListBullet"/>
        <w:spacing w:after="40"/>
      </w:pPr>
      <w:r>
        <w:t>ESD standby</w:t>
      </w:r>
    </w:p>
    <w:p>
      <w:pPr>
        <w:pStyle w:val="ListBullet"/>
        <w:spacing w:after="40"/>
      </w:pPr>
      <w:r>
        <w:t>Increase N₂/IG pressure to interbarrier space</w:t>
      </w:r>
    </w:p>
    <w:p>
      <w:pPr>
        <w:pStyle w:val="ListBullet"/>
        <w:spacing w:after="40"/>
      </w:pPr>
      <w:r>
        <w:t>Reduce cargo pressure if possible</w:t>
      </w:r>
    </w:p>
    <w:p>
      <w:pPr>
        <w:pStyle w:val="ListBullet"/>
        <w:spacing w:after="40"/>
      </w:pPr>
      <w:r>
        <w:t>Contact class — do not continue cargo operations</w:t>
      </w:r>
    </w:p>
    <w:p>
      <w:r>
        <w:t>---</w:t>
      </w:r>
    </w:p>
    <w:p>
      <w:pPr>
        <w:pStyle w:val="Heading3"/>
      </w:pPr>
      <w:r>
        <w:t>7. Sources</w:t>
      </w:r>
    </w:p>
    <w:p>
      <w:r>
        <w:t>1. IGC Code (IMO MSC.391(95), 2016 edition) — IGC Code</w:t>
      </w:r>
    </w:p>
    <w:p>
      <w:r>
        <w:t>2. STCW V/1-2 — Advanced Training for Liquefied Gas Tanker Cargo Operations</w:t>
      </w:r>
    </w:p>
    <w:p>
      <w:r>
        <w:t>3. SIGTTO — Ship/Shore Safety Checklist &amp; LNG Operational Practice</w:t>
      </w:r>
    </w:p>
    <w:p>
      <w:r>
        <w:t>4. GTT — Mark III containment system technical documents (2024 NEXT1 approval)</w:t>
      </w:r>
    </w:p>
    <w:p>
      <w:r>
        <w:t>5. Wikipedia — Gas carrier (updated October 2025) — containment system types</w:t>
      </w:r>
    </w:p>
    <w:p>
      <w:r>
        <w:t>6. sea-man.org — "Mastering Laden Voyage for Liquefied Gas Carriers" (June 2024)</w:t>
      </w:r>
    </w:p>
    <w:p>
      <w:r>
        <w:t>7. cultofsea.com — Gas Tanker Types, Tanks, Reliquefaction (July 2019)</w:t>
      </w:r>
    </w:p>
    <w:p>
      <w:r>
        <w:t>8. sea-man.org — LNG/LPG Reliquefaction plant systems (June 2024)</w:t>
      </w:r>
    </w:p>
    <w:p>
      <w:r>
        <w:t>9. USCG CGTTP 3-72.6A — Foreign Gas Carrier Examiner guide</w:t>
      </w:r>
    </w:p>
    <w:p>
      <w:r>
        <w:t>10. Lloyd's Register — Rules for Ships Carrying Liquefied Gases (July 2025)</w:t>
      </w:r>
    </w:p>
    <w:p>
      <w:pPr>
        <w:pStyle w:val="Heading1"/>
      </w:pPr>
      <w:r>
        <w:t>8. Trainee Assessment Checklist</w:t>
      </w:r>
    </w:p>
    <w:p>
      <w:r>
        <w:t>The instructor should verify the trainee can:</w:t>
      </w:r>
    </w:p>
    <w:p>
      <w:pPr>
        <w:pStyle w:val="ListBullet"/>
      </w:pPr>
      <w:r>
        <w:t>Identify all panels and their functions.</w:t>
      </w:r>
    </w:p>
    <w:p>
      <w:pPr>
        <w:pStyle w:val="ListBullet"/>
      </w:pPr>
      <w:r>
        <w:t>Read and interpret gauge values and colour codes.</w:t>
      </w:r>
    </w:p>
    <w:p>
      <w:pPr>
        <w:pStyle w:val="ListBullet"/>
      </w:pPr>
      <w:r>
        <w:t>Operate valve controls correctly.</w:t>
      </w:r>
    </w:p>
    <w:p>
      <w:pPr>
        <w:pStyle w:val="ListBullet"/>
      </w:pPr>
      <w:r>
        <w:t>Acknowledge and respond to alarms within appropriate time.</w:t>
      </w:r>
    </w:p>
    <w:p>
      <w:pPr>
        <w:pStyle w:val="ListBullet"/>
      </w:pPr>
      <w:r>
        <w:t>Execute the Emergency Shutdown procedure.</w:t>
      </w:r>
    </w:p>
    <w:p>
      <w:pPr>
        <w:pStyle w:val="ListBullet"/>
      </w:pPr>
      <w:r>
        <w:t>Complete at least two training scenarios with all checklist items done.</w:t>
      </w:r>
    </w:p>
    <w:p>
      <w:pPr>
        <w:pStyle w:val="ListBullet"/>
      </w:pPr>
      <w:r>
        <w:t>Explain the regulatory basis for the system (where applicable).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b/>
              </w:rPr>
              <w:t>Assessment Item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Result (Pass/Fail)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Remarks</w:t>
            </w:r>
          </w:p>
        </w:tc>
      </w:tr>
      <w:tr>
        <w:tc>
          <w:tcPr>
            <w:tcW w:type="dxa" w:w="2880"/>
          </w:tcPr>
          <w:p>
            <w:r>
              <w:t>Scenario Completion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Alarm Response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Emergency Procedure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</w:tbl>
    <w:p/>
    <w:p>
      <w:pPr>
        <w:jc w:val="center"/>
      </w:pPr>
      <w:r>
        <w:rPr>
          <w:color w:val="969696"/>
          <w:sz w:val="16"/>
        </w:rPr>
        <w:t>Generated by BlueSim Training Guide System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80"/>
    </w:pPr>
    <w:rPr>
      <w:rFonts w:ascii="Calibri" w:hAnsi="Calibri"/>
      <w:sz w:val="1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