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/>
    <w:p>
      <w:pPr>
        <w:jc w:val="center"/>
      </w:pPr>
      <w:r>
        <w:rPr>
          <w:b/>
          <w:color w:val="00788C"/>
          <w:sz w:val="28"/>
        </w:rPr>
        <w:t>BlueSim Training Guide</w:t>
      </w:r>
    </w:p>
    <w:p>
      <w:pPr>
        <w:jc w:val="center"/>
      </w:pPr>
      <w:r>
        <w:rPr>
          <w:b/>
          <w:sz w:val="48"/>
        </w:rPr>
        <w:t>LNG Fuel Gas Supply System Simulator</w:t>
      </w:r>
    </w:p>
    <w:p>
      <w:pPr>
        <w:jc w:val="center"/>
      </w:pPr>
      <w:r>
        <w:rPr>
          <w:color w:val="646464"/>
          <w:sz w:val="24"/>
        </w:rPr>
        <w:t>Fuel Simulators</w:t>
      </w:r>
    </w:p>
    <w:p>
      <w:pPr>
        <w:jc w:val="center"/>
      </w:pPr>
      <w:r>
        <w:rPr>
          <w:color w:val="505050"/>
          <w:sz w:val="20"/>
        </w:rPr>
        <w:t>LNG FGSS simulator for dual-fuel vessels covering Type C tank management, gas supply train startup, BOG control and ESD response per IGF Code.</w:t>
      </w:r>
    </w:p>
    <w:p>
      <w:r>
        <w:br w:type="page"/>
      </w:r>
    </w:p>
    <w:p>
      <w:pPr>
        <w:pStyle w:val="Heading1"/>
      </w:pPr>
      <w:r>
        <w:t>1. Display Requirements</w:t>
      </w:r>
    </w:p>
    <w:tbl>
      <w:tblPr>
        <w:tblStyle w:val="LightGrid-Accent1"/>
        <w:tblW w:type="auto" w:w="0"/>
        <w:jc w:val="left"/>
        <w:tblLook w:firstColumn="1" w:firstRow="1" w:lastColumn="0" w:lastRow="0" w:noHBand="0" w:noVBand="1" w:val="04A0"/>
      </w:tblPr>
      <w:tblGrid>
        <w:gridCol w:w="4320"/>
        <w:gridCol w:w="4320"/>
      </w:tblGrid>
      <w:tr>
        <w:tc>
          <w:tcPr>
            <w:tcW w:type="dxa" w:w="4320"/>
          </w:tcPr>
          <w:p>
            <w:r>
              <w:t>Optimal Resolution</w:t>
            </w:r>
          </w:p>
        </w:tc>
        <w:tc>
          <w:tcPr>
            <w:tcW w:type="dxa" w:w="4320"/>
          </w:tcPr>
          <w:p>
            <w:r>
              <w:t>1920 x 1080 (Full HD)</w:t>
            </w:r>
          </w:p>
        </w:tc>
      </w:tr>
      <w:tr>
        <w:tc>
          <w:tcPr>
            <w:tcW w:type="dxa" w:w="4320"/>
          </w:tcPr>
          <w:p>
            <w:r>
              <w:t>Minimum Resolution</w:t>
            </w:r>
          </w:p>
        </w:tc>
        <w:tc>
          <w:tcPr>
            <w:tcW w:type="dxa" w:w="4320"/>
          </w:tcPr>
          <w:p>
            <w:r>
              <w:t>1366 x 768</w:t>
            </w:r>
          </w:p>
        </w:tc>
      </w:tr>
      <w:tr>
        <w:tc>
          <w:tcPr>
            <w:tcW w:type="dxa" w:w="4320"/>
          </w:tcPr>
          <w:p>
            <w:r>
              <w:t>Aspect Ratio</w:t>
            </w:r>
          </w:p>
        </w:tc>
        <w:tc>
          <w:tcPr>
            <w:tcW w:type="dxa" w:w="4320"/>
          </w:tcPr>
          <w:p>
            <w:r>
              <w:t>16:9 (recommended) or 16:10</w:t>
            </w:r>
          </w:p>
        </w:tc>
      </w:tr>
      <w:tr>
        <w:tc>
          <w:tcPr>
            <w:tcW w:type="dxa" w:w="4320"/>
          </w:tcPr>
          <w:p>
            <w:r>
              <w:t>Browser</w:t>
            </w:r>
          </w:p>
        </w:tc>
        <w:tc>
          <w:tcPr>
            <w:tcW w:type="dxa" w:w="4320"/>
          </w:tcPr>
          <w:p>
            <w:r>
              <w:t>Chrome 90+, Firefox 90+, Edge 90+ (fullscreen recommended)</w:t>
            </w:r>
          </w:p>
        </w:tc>
      </w:tr>
      <w:tr>
        <w:tc>
          <w:tcPr>
            <w:tcW w:type="dxa" w:w="4320"/>
          </w:tcPr>
          <w:p>
            <w:r>
              <w:t>Input</w:t>
            </w:r>
          </w:p>
        </w:tc>
        <w:tc>
          <w:tcPr>
            <w:tcW w:type="dxa" w:w="4320"/>
          </w:tcPr>
          <w:p>
            <w:r>
              <w:t>Mouse + keyboard (touchscreen not supported)</w:t>
            </w:r>
          </w:p>
        </w:tc>
      </w:tr>
    </w:tbl>
    <w:p/>
    <w:p>
      <w:r>
        <w:rPr>
          <w:b/>
        </w:rPr>
        <w:t xml:space="preserve">Note: </w:t>
      </w:r>
      <w:r>
        <w:t>The simulator is designed for desktop use. On screens below 980 x 600 px, a "Screen Too Small" notice will appear. For the best experience, press F11 for fullscreen mode after launching the simulator.</w:t>
      </w:r>
    </w:p>
    <w:p>
      <w:pPr>
        <w:pStyle w:val="Heading1"/>
      </w:pPr>
      <w:r>
        <w:t>2. Simulator Overview</w:t>
      </w:r>
    </w:p>
    <w:p>
      <w:r>
        <w:t>LNG FGSS simulator for dual-fuel vessels covering Type C tank management, gas supply train startup, BOG control and ESD response per IGF Code.</w:t>
      </w:r>
    </w:p>
    <w:p>
      <w:pPr>
        <w:pStyle w:val="Heading2"/>
      </w:pPr>
      <w:r>
        <w:t>Key Features</w:t>
      </w:r>
    </w:p>
    <w:p>
      <w:pPr>
        <w:pStyle w:val="ListBullet"/>
      </w:pPr>
      <w:r>
        <w:t>Type C cryogenic LNG tank with pressure, level, temperature and BOG rate monitoring.</w:t>
      </w:r>
    </w:p>
    <w:p>
      <w:pPr>
        <w:pStyle w:val="ListBullet"/>
      </w:pPr>
      <w:r>
        <w:t>Full gas supply train: LNG pump, vaporiser, GVU with DBB valves, engine gas rail.</w:t>
      </w:r>
    </w:p>
    <w:p>
      <w:pPr>
        <w:pStyle w:val="ListBullet"/>
      </w:pPr>
      <w:r>
        <w:t>Gas detection in pump room, GVU room and engine room with ESD trip simulation.</w:t>
      </w:r>
    </w:p>
    <w:p>
      <w:pPr>
        <w:pStyle w:val="ListBullet"/>
      </w:pPr>
      <w:r>
        <w:t>Four training scenarios: gas mode startup, ESD trip, BOG management, pressure control.</w:t>
      </w:r>
    </w:p>
    <w:p>
      <w:pPr>
        <w:pStyle w:val="Heading1"/>
      </w:pPr>
      <w:r>
        <w:t>3. Interface Layout</w:t>
      </w:r>
    </w:p>
    <w:p>
      <w:r>
        <w:t>The simulator uses a multi-panel layout with the following regions:</w:t>
      </w:r>
    </w:p>
    <w:tbl>
      <w:tblPr>
        <w:tblStyle w:val="LightGrid-Accent1"/>
        <w:tblW w:type="auto" w:w="0"/>
        <w:tblLook w:firstColumn="1" w:firstRow="1" w:lastColumn="0" w:lastRow="0" w:noHBand="0" w:noVBand="1" w:val="04A0"/>
      </w:tblPr>
      <w:tblGrid>
        <w:gridCol w:w="4320"/>
        <w:gridCol w:w="4320"/>
      </w:tblGrid>
      <w:tr>
        <w:tc>
          <w:tcPr>
            <w:tcW w:type="dxa" w:w="4320"/>
          </w:tcPr>
          <w:p>
            <w:r>
              <w:rPr>
                <w:b/>
              </w:rPr>
              <w:t>Panel</w:t>
            </w:r>
          </w:p>
        </w:tc>
        <w:tc>
          <w:tcPr>
            <w:tcW w:type="dxa" w:w="4320"/>
          </w:tcPr>
          <w:p>
            <w:r>
              <w:rPr>
                <w:b/>
              </w:rPr>
              <w:t>Purpose</w:t>
            </w:r>
          </w:p>
        </w:tc>
      </w:tr>
      <w:tr>
        <w:tc>
          <w:tcPr>
            <w:tcW w:type="dxa" w:w="4320"/>
          </w:tcPr>
          <w:p>
            <w:r>
              <w:t>EXIT</w:t>
            </w:r>
          </w:p>
        </w:tc>
        <w:tc>
          <w:tcPr>
            <w:tcW w:type="dxa" w:w="4320"/>
          </w:tcPr>
          <w:p>
            <w:r>
              <w:t>Displays real-time system data, controls, and status indicators.</w:t>
            </w:r>
          </w:p>
        </w:tc>
      </w:tr>
      <w:tr>
        <w:tc>
          <w:tcPr>
            <w:tcW w:type="dxa" w:w="4320"/>
          </w:tcPr>
          <w:p>
            <w:r>
              <w:t>LNG TANK &amp; SUPPLY</w:t>
            </w:r>
          </w:p>
        </w:tc>
        <w:tc>
          <w:tcPr>
            <w:tcW w:type="dxa" w:w="4320"/>
          </w:tcPr>
          <w:p>
            <w:r>
              <w:t>Displays real-time system data, controls, and status indicators.</w:t>
            </w:r>
          </w:p>
        </w:tc>
      </w:tr>
      <w:tr>
        <w:tc>
          <w:tcPr>
            <w:tcW w:type="dxa" w:w="4320"/>
          </w:tcPr>
          <w:p>
            <w:r>
              <w:t>FGSS PROCESS SCHEMATIC</w:t>
            </w:r>
          </w:p>
        </w:tc>
        <w:tc>
          <w:tcPr>
            <w:tcW w:type="dxa" w:w="4320"/>
          </w:tcPr>
          <w:p>
            <w:r>
              <w:t>Displays real-time system data, controls, and status indicators.</w:t>
            </w:r>
          </w:p>
        </w:tc>
      </w:tr>
      <w:tr>
        <w:tc>
          <w:tcPr>
            <w:tcW w:type="dxa" w:w="4320"/>
          </w:tcPr>
          <w:p>
            <w:r>
              <w:t>DETECTION &amp; VALVES &amp; ALARMS</w:t>
            </w:r>
          </w:p>
        </w:tc>
        <w:tc>
          <w:tcPr>
            <w:tcW w:type="dxa" w:w="4320"/>
          </w:tcPr>
          <w:p>
            <w:r>
              <w:t>Displays real-time system data, controls, and status indicators.</w:t>
            </w:r>
          </w:p>
        </w:tc>
      </w:tr>
      <w:tr>
        <w:tc>
          <w:tcPr>
            <w:tcW w:type="dxa" w:w="4320"/>
          </w:tcPr>
          <w:p>
            <w:r>
              <w:t>PIPELINE LINEUP</w:t>
            </w:r>
          </w:p>
        </w:tc>
        <w:tc>
          <w:tcPr>
            <w:tcW w:type="dxa" w:w="4320"/>
          </w:tcPr>
          <w:p>
            <w:r>
              <w:t>Displays real-time system data, controls, and status indicators.</w:t>
            </w:r>
          </w:p>
        </w:tc>
      </w:tr>
      <w:tr>
        <w:tc>
          <w:tcPr>
            <w:tcW w:type="dxa" w:w="4320"/>
          </w:tcPr>
          <w:p>
            <w:r>
              <w:t>TANK PRESSURE TREND</w:t>
            </w:r>
          </w:p>
        </w:tc>
        <w:tc>
          <w:tcPr>
            <w:tcW w:type="dxa" w:w="4320"/>
          </w:tcPr>
          <w:p>
            <w:r>
              <w:t>Displays real-time system data, controls, and status indicators.</w:t>
            </w:r>
          </w:p>
        </w:tc>
      </w:tr>
      <w:tr>
        <w:tc>
          <w:tcPr>
            <w:tcW w:type="dxa" w:w="4320"/>
          </w:tcPr>
          <w:p>
            <w:r>
              <w:t>OPERATIONS LOG</w:t>
            </w:r>
          </w:p>
        </w:tc>
        <w:tc>
          <w:tcPr>
            <w:tcW w:type="dxa" w:w="4320"/>
          </w:tcPr>
          <w:p>
            <w:r>
              <w:t>Displays real-time system data, controls, and status indicators.</w:t>
            </w:r>
          </w:p>
        </w:tc>
      </w:tr>
    </w:tbl>
    <w:p/>
    <w:p>
      <w:r>
        <w:rPr>
          <w:b/>
        </w:rPr>
        <w:t xml:space="preserve">Header Bar: </w:t>
      </w:r>
      <w:r>
        <w:t>Shows simulator title, regulatory reference, live clock, fullscreen toggle, and exit button.</w:t>
      </w:r>
    </w:p>
    <w:p>
      <w:r>
        <w:rPr>
          <w:b/>
        </w:rPr>
        <w:t xml:space="preserve">Left Panel: </w:t>
      </w:r>
      <w:r>
        <w:t>System gauges, valve controls, and operational parameters.</w:t>
      </w:r>
    </w:p>
    <w:p>
      <w:r>
        <w:rPr>
          <w:b/>
        </w:rPr>
        <w:t xml:space="preserve">Center Panel: </w:t>
      </w:r>
      <w:r>
        <w:t>P&amp;ID schematic or main visual display (canvas/SVG).</w:t>
      </w:r>
    </w:p>
    <w:p>
      <w:r>
        <w:rPr>
          <w:b/>
        </w:rPr>
        <w:t xml:space="preserve">Right Panel: </w:t>
      </w:r>
      <w:r>
        <w:t>Alarm management, emergency controls, and scenario buttons.</w:t>
      </w:r>
    </w:p>
    <w:p>
      <w:r>
        <w:rPr>
          <w:b/>
        </w:rPr>
        <w:t xml:space="preserve">Bottom Panels: </w:t>
      </w:r>
      <w:r>
        <w:t>Trend charts, gas detection, scenario checklists, and supplementary data.</w:t>
      </w:r>
    </w:p>
    <w:p>
      <w:pPr>
        <w:pStyle w:val="Heading1"/>
      </w:pPr>
      <w:r>
        <w:t>4. System Components</w:t>
      </w:r>
    </w:p>
    <w:p>
      <w:pPr>
        <w:pStyle w:val="Heading2"/>
      </w:pPr>
      <w:r>
        <w:t>4.2 Valve Controls</w:t>
      </w:r>
    </w:p>
    <w:p>
      <w:r>
        <w:t>Click a valve button to toggle its state. Valve states are colour-coded:</w:t>
      </w:r>
    </w:p>
    <w:p>
      <w:r>
        <w:rPr>
          <w:b/>
        </w:rPr>
        <w:t xml:space="preserve">Green: </w:t>
      </w:r>
      <w:r>
        <w:t>OPEN</w:t>
      </w:r>
    </w:p>
    <w:p>
      <w:r>
        <w:rPr>
          <w:b/>
        </w:rPr>
        <w:t xml:space="preserve">Red: </w:t>
      </w:r>
      <w:r>
        <w:t>CLOSED</w:t>
      </w:r>
    </w:p>
    <w:p>
      <w:r>
        <w:rPr>
          <w:b/>
        </w:rPr>
        <w:t xml:space="preserve">Amber: </w:t>
      </w:r>
      <w:r>
        <w:t>TRANSITIONING</w:t>
      </w:r>
    </w:p>
    <w:p/>
    <w:tbl>
      <w:tblPr>
        <w:tblStyle w:val="LightGrid-Accent1"/>
        <w:tblW w:type="auto" w:w="0"/>
        <w:tblLook w:firstColumn="1" w:firstRow="1" w:lastColumn="0" w:lastRow="0" w:noHBand="0" w:noVBand="1" w:val="04A0"/>
      </w:tblPr>
      <w:tblGrid>
        <w:gridCol w:w="8640"/>
      </w:tblGrid>
      <w:tr>
        <w:tc>
          <w:tcPr>
            <w:tcW w:type="dxa" w:w="8640"/>
          </w:tcPr>
          <w:p>
            <w:r>
              <w:rPr>
                <w:b/>
              </w:rPr>
              <w:t>Valve Name</w:t>
            </w:r>
          </w:p>
        </w:tc>
      </w:tr>
      <w:tr>
        <w:tc>
          <w:tcPr>
            <w:tcW w:type="dxa" w:w="8640"/>
          </w:tcPr>
          <w:p>
            <w:r>
              <w:t>VAP IN [C]</w:t>
            </w:r>
          </w:p>
        </w:tc>
      </w:tr>
      <w:tr>
        <w:tc>
          <w:tcPr>
            <w:tcW w:type="dxa" w:w="8640"/>
          </w:tcPr>
          <w:p>
            <w:r>
              <w:t>VAP OUT [C]</w:t>
            </w:r>
          </w:p>
        </w:tc>
      </w:tr>
    </w:tbl>
    <w:p>
      <w:pPr>
        <w:pStyle w:val="Heading1"/>
      </w:pPr>
      <w:r>
        <w:t>5. Training Scenarios</w:t>
      </w:r>
    </w:p>
    <w:p>
      <w:r>
        <w:t>Scenario information will be displayed in the simulator modal on launch. Follow the on-screen checklist to complete each training objective.</w:t>
      </w:r>
    </w:p>
    <w:p>
      <w:pPr>
        <w:pStyle w:val="Heading1"/>
      </w:pPr>
      <w:r>
        <w:t>6. Emergency Procedures</w:t>
      </w:r>
    </w:p>
    <w:p>
      <w:r>
        <w:t>When an alarm condition occurs:</w:t>
      </w:r>
    </w:p>
    <w:p>
      <w:r>
        <w:rPr>
          <w:b/>
        </w:rPr>
        <w:t xml:space="preserve">1. </w:t>
      </w:r>
      <w:r>
        <w:t>Identify the alarm in the Alarm Management panel (right side).</w:t>
      </w:r>
    </w:p>
    <w:p>
      <w:r>
        <w:rPr>
          <w:b/>
        </w:rPr>
        <w:t xml:space="preserve">2. </w:t>
      </w:r>
      <w:r>
        <w:t>Acknowledge the alarm by clicking on it.</w:t>
      </w:r>
    </w:p>
    <w:p>
      <w:r>
        <w:rPr>
          <w:b/>
        </w:rPr>
        <w:t xml:space="preserve">3. </w:t>
      </w:r>
      <w:r>
        <w:t>Assess the severity: WARNING (amber) requires monitoring; ALARM (red) requires immediate action.</w:t>
      </w:r>
    </w:p>
    <w:p>
      <w:r>
        <w:rPr>
          <w:b/>
        </w:rPr>
        <w:t xml:space="preserve">4. </w:t>
      </w:r>
      <w:r>
        <w:t>If Emergency Shutdown (ESD) is required, press the ESD button.</w:t>
      </w:r>
    </w:p>
    <w:p>
      <w:r>
        <w:rPr>
          <w:b/>
        </w:rPr>
        <w:t xml:space="preserve">5. </w:t>
      </w:r>
      <w:r>
        <w:t>Follow the scenario checklist for step-by-step response.</w:t>
      </w:r>
    </w:p>
    <w:p>
      <w:r>
        <w:rPr>
          <w:b/>
        </w:rPr>
        <w:t xml:space="preserve">6. </w:t>
      </w:r>
      <w:r>
        <w:t>After resolving the condition, use the RESET button to restore normal operations.</w:t>
      </w:r>
    </w:p>
    <w:p>
      <w:pPr>
        <w:pStyle w:val="Heading1"/>
      </w:pPr>
      <w:r>
        <w:t>7. Reference Documentation</w:t>
      </w:r>
    </w:p>
    <w:p>
      <w:pPr>
        <w:pStyle w:val="Heading2"/>
      </w:pPr>
      <w:r>
        <w:t>reference</w:t>
      </w:r>
    </w:p>
    <w:p>
      <w:pPr>
        <w:pStyle w:val="Heading2"/>
      </w:pPr>
      <w:r>
        <w:t>LNG Fuel Gas Supply System (FGSS) — Technical Reference</w:t>
      </w:r>
    </w:p>
    <w:p>
      <w:pPr>
        <w:pStyle w:val="Heading3"/>
      </w:pPr>
      <w:r>
        <w:t>Regulatory Framework</w:t>
      </w:r>
    </w:p>
    <w:p>
      <w:pPr>
        <w:pStyle w:val="ListBullet"/>
        <w:spacing w:after="40"/>
      </w:pPr>
      <w:r>
        <w:t>**IGF Code (International Code of Safety for Ships using Gases or Other Low-Flashpoint Fuels)**: MSC.391(95) — primary regulation for LNG-fuelled vessels.</w:t>
      </w:r>
    </w:p>
    <w:p>
      <w:pPr>
        <w:pStyle w:val="ListBullet"/>
        <w:spacing w:after="40"/>
      </w:pPr>
      <w:r>
        <w:t>**IMO IGF Code Part A-2**: Requirements for methane (natural gas) as fuel.</w:t>
      </w:r>
    </w:p>
    <w:p>
      <w:pPr>
        <w:pStyle w:val="ListBullet"/>
        <w:spacing w:after="40"/>
      </w:pPr>
      <w:r>
        <w:t>**SOLAS II-1/Reg.55**: Requirements for ships using low-flashpoint fuels.</w:t>
      </w:r>
    </w:p>
    <w:p>
      <w:pPr>
        <w:pStyle w:val="ListBullet"/>
        <w:spacing w:after="40"/>
      </w:pPr>
      <w:r>
        <w:t>**MSC.1/Circ.1621**: Guidelines for approval of alternatives and equivalencies to the IGF Code.</w:t>
      </w:r>
    </w:p>
    <w:p>
      <w:pPr>
        <w:pStyle w:val="ListBullet"/>
        <w:spacing w:after="40"/>
      </w:pPr>
      <w:r>
        <w:t>**ISO 20519**: Specification for bunkering of LNG-fuelled vessels.</w:t>
      </w:r>
    </w:p>
    <w:p>
      <w:pPr>
        <w:pStyle w:val="ListBullet"/>
        <w:spacing w:after="40"/>
      </w:pPr>
      <w:r>
        <w:t>**Classification Rules**: DNV Rules for Classification — Ships / Part 6 Ch. 2 (Gas fuel systems).</w:t>
      </w:r>
    </w:p>
    <w:p>
      <w:pPr>
        <w:pStyle w:val="Heading3"/>
      </w:pPr>
      <w:r>
        <w:t>LNG Fuel Tank (Type C)</w:t>
      </w:r>
    </w:p>
    <w:p>
      <w:pPr>
        <w:pStyle w:val="Heading4"/>
      </w:pPr>
      <w:r>
        <w:t>Type C Tank Characteristics</w:t>
      </w:r>
    </w:p>
    <w:p>
      <w:pPr>
        <w:pStyle w:val="ListBullet"/>
        <w:spacing w:after="40"/>
      </w:pPr>
      <w:r>
        <w:t>Cylindrical pressure vessel (independent tank, no structural hull connection)</w:t>
      </w:r>
    </w:p>
    <w:p>
      <w:pPr>
        <w:pStyle w:val="ListBullet"/>
        <w:spacing w:after="40"/>
      </w:pPr>
      <w:r>
        <w:t>Design pressure: 4–10 bar (typical for type C)</w:t>
      </w:r>
    </w:p>
    <w:p>
      <w:pPr>
        <w:pStyle w:val="ListBullet"/>
        <w:spacing w:after="40"/>
      </w:pPr>
      <w:r>
        <w:t>Minimum design temperature: −165°C</w:t>
      </w:r>
    </w:p>
    <w:p>
      <w:pPr>
        <w:pStyle w:val="ListBullet"/>
        <w:spacing w:after="40"/>
      </w:pPr>
      <w:r>
        <w:t>Hold space: double wall with vacuum/perlite insulation</w:t>
      </w:r>
    </w:p>
    <w:p>
      <w:pPr>
        <w:pStyle w:val="ListBullet"/>
        <w:spacing w:after="40"/>
      </w:pPr>
      <w:r>
        <w:t>Boil-Off Gas (BOG) rate: 0.1–0.2% of tank volume per day</w:t>
      </w:r>
    </w:p>
    <w:p>
      <w:pPr>
        <w:pStyle w:val="ListBullet"/>
        <w:spacing w:after="40"/>
      </w:pPr>
      <w:r>
        <w:t>Normal operating pressure: 2–7 bar (absolute)</w:t>
      </w:r>
    </w:p>
    <w:p>
      <w:pPr>
        <w:pStyle w:val="Heading4"/>
      </w:pPr>
      <w:r>
        <w:t>Key Parameters</w:t>
      </w:r>
    </w:p>
    <w:p>
      <w:r>
        <w:t>| Parameter | Normal Range | Alarm Low | Alarm High |</w:t>
      </w:r>
    </w:p>
    <w:p>
      <w:r>
        <w:t>|-----------|-------------|-----------|------------|</w:t>
      </w:r>
    </w:p>
    <w:p>
      <w:r>
        <w:t>| Tank pressure | 1.5–6.0 bar | &lt; 0.8 bar | &gt; 6.5 bar |</w:t>
      </w:r>
    </w:p>
    <w:p>
      <w:r>
        <w:t>| Tank level | 10–95% | &lt; 10% | &gt; 98% |</w:t>
      </w:r>
    </w:p>
    <w:p>
      <w:r>
        <w:t>| LNG temperature | −162°C to −155°C | — | &gt; −140°C |</w:t>
      </w:r>
    </w:p>
    <w:p>
      <w:r>
        <w:t>| BOG rate | 0.1–0.5 kg/h per ton | — | &gt; 1.0 kg/h/ton |</w:t>
      </w:r>
    </w:p>
    <w:p>
      <w:pPr>
        <w:pStyle w:val="Heading3"/>
      </w:pPr>
      <w:r>
        <w:t>Gas Supply Train</w:t>
      </w:r>
    </w:p>
    <w:p>
      <w:pPr>
        <w:pStyle w:val="Heading4"/>
      </w:pPr>
      <w:r>
        <w:t>Component Description</w:t>
      </w:r>
    </w:p>
    <w:p>
      <w:r>
        <w:t>1. LNG Pump (Submerged): Cryogenic centrifugal pump inside LNG tank. Pumps LNG at high pressure to vaporiser. Typical pressure: 5–8 bar.</w:t>
      </w:r>
    </w:p>
    <w:p>
      <w:r>
        <w:t>2. Vaporiser (Heat Exchanger): Converts LNG to natural gas. Types: sea water heated, glycol water heated. Outlet temp: +20°C to +40°C at full pressure.</w:t>
      </w:r>
    </w:p>
    <w:p>
      <w:r>
        <w:t>3. GVU (Gas Valve Unit): Contains master gas valve, pressure regulating valves, flow meter, gas detection. Located in ventilated room.</w:t>
      </w:r>
    </w:p>
    <w:p>
      <w:r>
        <w:t>4. Engine Gas Fuel Rail: Delivers gas at engine inlet pressure (typically 6–8 bar for MAN B&amp;W or Wärtsilä DF engines).</w:t>
      </w:r>
    </w:p>
    <w:p>
      <w:pPr>
        <w:pStyle w:val="Heading4"/>
      </w:pPr>
      <w:r>
        <w:t>Double Block and Bleed (DBB) Valves</w:t>
      </w:r>
    </w:p>
    <w:p>
      <w:pPr>
        <w:pStyle w:val="ListBullet"/>
        <w:spacing w:after="40"/>
      </w:pPr>
      <w:r>
        <w:t>Required by IGF Code at gas admission valves to each engine</w:t>
      </w:r>
    </w:p>
    <w:p>
      <w:pPr>
        <w:pStyle w:val="ListBullet"/>
        <w:spacing w:after="40"/>
      </w:pPr>
      <w:r>
        <w:t>Two shut-off valves in series with bleed valve between</w:t>
      </w:r>
    </w:p>
    <w:p>
      <w:pPr>
        <w:pStyle w:val="ListBullet"/>
        <w:spacing w:after="40"/>
      </w:pPr>
      <w:r>
        <w:t>On ESD: both block valves close; bleed vents gas between them to safe location</w:t>
      </w:r>
    </w:p>
    <w:p>
      <w:pPr>
        <w:pStyle w:val="ListBullet"/>
        <w:spacing w:after="40"/>
      </w:pPr>
      <w:r>
        <w:t>Ensures positive isolation of gas supply to engine</w:t>
      </w:r>
    </w:p>
    <w:p>
      <w:pPr>
        <w:pStyle w:val="Heading3"/>
      </w:pPr>
      <w:r>
        <w:t>BOG (Boil-Off Gas) Management</w:t>
      </w:r>
    </w:p>
    <w:p>
      <w:pPr>
        <w:pStyle w:val="Heading4"/>
      </w:pPr>
      <w:r>
        <w:t>Sources of BOG</w:t>
      </w:r>
    </w:p>
    <w:p>
      <w:pPr>
        <w:pStyle w:val="ListBullet"/>
        <w:spacing w:after="40"/>
      </w:pPr>
      <w:r>
        <w:t>Heat ingress through tank insulation (continuous)</w:t>
      </w:r>
    </w:p>
    <w:p>
      <w:pPr>
        <w:pStyle w:val="ListBullet"/>
        <w:spacing w:after="40"/>
      </w:pPr>
      <w:r>
        <w:t>LNG pump operation (mechanical heat)</w:t>
      </w:r>
    </w:p>
    <w:p>
      <w:pPr>
        <w:pStyle w:val="ListBullet"/>
        <w:spacing w:after="40"/>
      </w:pPr>
      <w:r>
        <w:t>Pressure build-up during voyage (natural evaporation)</w:t>
      </w:r>
    </w:p>
    <w:p>
      <w:pPr>
        <w:pStyle w:val="Heading4"/>
      </w:pPr>
      <w:r>
        <w:t>BOG Handling Options</w:t>
      </w:r>
    </w:p>
    <w:p>
      <w:r>
        <w:t>1. Forced Vaporisation: Use BOG in engine as primary fuel (preferred)</w:t>
      </w:r>
    </w:p>
    <w:p>
      <w:r>
        <w:t>2. BOG Compressor: Compress BOG to supply gas train pressure</w:t>
      </w:r>
    </w:p>
    <w:p>
      <w:r>
        <w:t>3. Vent Mast: Emergency release of excess BOG to atmosphere (last resort)</w:t>
      </w:r>
    </w:p>
    <w:p>
      <w:r>
        <w:t>4. Re-liquefaction: Cryogenic compressor (large vessels only)</w:t>
      </w:r>
    </w:p>
    <w:p>
      <w:pPr>
        <w:pStyle w:val="Heading3"/>
      </w:pPr>
      <w:r>
        <w:t>Operating Modes</w:t>
      </w:r>
    </w:p>
    <w:p>
      <w:pPr>
        <w:pStyle w:val="ListBullet"/>
        <w:spacing w:after="40"/>
      </w:pPr>
      <w:r>
        <w:t>**GAS MODE**: LNG pump running, gas supply to engine active. Engine burning gas + pilot fuel.</w:t>
      </w:r>
    </w:p>
    <w:p>
      <w:pPr>
        <w:pStyle w:val="ListBullet"/>
        <w:spacing w:after="40"/>
      </w:pPr>
      <w:r>
        <w:t>**PILOT OIL / HFO**: Gas system offline. Engine running on diesel/HFO.</w:t>
      </w:r>
    </w:p>
    <w:p>
      <w:pPr>
        <w:pStyle w:val="ListBullet"/>
        <w:spacing w:after="40"/>
      </w:pPr>
      <w:r>
        <w:t>**DUAL FUEL**: Both gas and pilot oil injected (during transition).</w:t>
      </w:r>
    </w:p>
    <w:p>
      <w:pPr>
        <w:pStyle w:val="Heading3"/>
      </w:pPr>
      <w:r>
        <w:t>ESD (Emergency Shutdown) System</w:t>
      </w:r>
    </w:p>
    <w:p>
      <w:pPr>
        <w:pStyle w:val="Heading4"/>
      </w:pPr>
      <w:r>
        <w:t>ESD Triggers</w:t>
      </w:r>
    </w:p>
    <w:p>
      <w:pPr>
        <w:pStyle w:val="ListBullet"/>
        <w:spacing w:after="40"/>
      </w:pPr>
      <w:r>
        <w:t>Gas leakage detected (&gt;20% LEL in GVU room or ER)</w:t>
      </w:r>
    </w:p>
    <w:p>
      <w:pPr>
        <w:pStyle w:val="ListBullet"/>
        <w:spacing w:after="40"/>
      </w:pPr>
      <w:r>
        <w:t>Engine room fire</w:t>
      </w:r>
    </w:p>
    <w:p>
      <w:pPr>
        <w:pStyle w:val="ListBullet"/>
        <w:spacing w:after="40"/>
      </w:pPr>
      <w:r>
        <w:t>Manual ESD activation</w:t>
      </w:r>
    </w:p>
    <w:p>
      <w:pPr>
        <w:pStyle w:val="ListBullet"/>
        <w:spacing w:after="40"/>
      </w:pPr>
      <w:r>
        <w:t>Loss of gas pressure</w:t>
      </w:r>
    </w:p>
    <w:p>
      <w:pPr>
        <w:pStyle w:val="ListBullet"/>
        <w:spacing w:after="40"/>
      </w:pPr>
      <w:r>
        <w:t>LNG tank high pressure</w:t>
      </w:r>
    </w:p>
    <w:p>
      <w:pPr>
        <w:pStyle w:val="Heading4"/>
      </w:pPr>
      <w:r>
        <w:t>ESD Actions</w:t>
      </w:r>
    </w:p>
    <w:p>
      <w:r>
        <w:t>1. Close master gas valve (MGV)</w:t>
      </w:r>
    </w:p>
    <w:p>
      <w:r>
        <w:t>2. Close all engine gas inlet valves (DBB close)</w:t>
      </w:r>
    </w:p>
    <w:p>
      <w:r>
        <w:t>3. Stop LNG pump</w:t>
      </w:r>
    </w:p>
    <w:p>
      <w:r>
        <w:t>4. Isolate vaporiser</w:t>
      </w:r>
    </w:p>
    <w:p>
      <w:r>
        <w:t>5. Switch engine to pilot oil/HFO mode</w:t>
      </w:r>
    </w:p>
    <w:p>
      <w:r>
        <w:t>6. Activate gas dispersion system</w:t>
      </w:r>
    </w:p>
    <w:p>
      <w:pPr>
        <w:pStyle w:val="Heading3"/>
      </w:pPr>
      <w:r>
        <w:t>Gas Detection</w:t>
      </w:r>
    </w:p>
    <w:p>
      <w:pPr>
        <w:pStyle w:val="ListBullet"/>
        <w:spacing w:after="40"/>
      </w:pPr>
      <w:r>
        <w:t>Catalytic bead sensors (0–100% LEL) in engine room, GVU room, LNG pump room</w:t>
      </w:r>
    </w:p>
    <w:p>
      <w:pPr>
        <w:pStyle w:val="ListBullet"/>
        <w:spacing w:after="40"/>
      </w:pPr>
      <w:r>
        <w:t>Alarm at 20% LEL</w:t>
      </w:r>
    </w:p>
    <w:p>
      <w:pPr>
        <w:pStyle w:val="ListBullet"/>
        <w:spacing w:after="40"/>
      </w:pPr>
      <w:r>
        <w:t>ESD at 40% LEL (automatic)</w:t>
      </w:r>
    </w:p>
    <w:p>
      <w:pPr>
        <w:pStyle w:val="ListBullet"/>
        <w:spacing w:after="40"/>
      </w:pPr>
      <w:r>
        <w:t>Infrared sensors for continuous monitoring</w:t>
      </w:r>
    </w:p>
    <w:p>
      <w:pPr>
        <w:pStyle w:val="Heading3"/>
      </w:pPr>
      <w:r>
        <w:t>Fuel Mode Indicators</w:t>
      </w:r>
    </w:p>
    <w:p>
      <w:pPr>
        <w:pStyle w:val="ListBullet"/>
        <w:spacing w:after="40"/>
      </w:pPr>
      <w:r>
        <w:t>**GAS**: Primary combustion gas; pilot oil ≤ 1% of fuel energy</w:t>
      </w:r>
    </w:p>
    <w:p>
      <w:pPr>
        <w:pStyle w:val="ListBullet"/>
        <w:spacing w:after="40"/>
      </w:pPr>
      <w:r>
        <w:t>**PILOT OIL**: Diesel only; gas system isolated</w:t>
      </w:r>
    </w:p>
    <w:p>
      <w:pPr>
        <w:pStyle w:val="ListBullet"/>
        <w:spacing w:after="40"/>
      </w:pPr>
      <w:r>
        <w:t>**HFO**: Heavy fuel oil mode (if applicable)</w:t>
      </w:r>
    </w:p>
    <w:p>
      <w:pPr>
        <w:pStyle w:val="Heading3"/>
      </w:pPr>
      <w:r>
        <w:t>Key Calculations</w:t>
      </w:r>
    </w:p>
    <w:p>
      <w:pPr>
        <w:pStyle w:val="ListBullet"/>
        <w:spacing w:after="40"/>
      </w:pPr>
      <w:r>
        <w:t>**BOG rate (kg/h)** = 0.001 × tank_volume(m³) × LNG_density(kg/m³) × BOG_rate(%/day) / 24</w:t>
      </w:r>
    </w:p>
    <w:p>
      <w:pPr>
        <w:pStyle w:val="ListBullet"/>
        <w:spacing w:after="40"/>
      </w:pPr>
      <w:r>
        <w:t>**Gas consumption** ≈ 0.135–0.165 kg/kWh (LHV basis for DF engines)</w:t>
      </w:r>
    </w:p>
    <w:p>
      <w:pPr>
        <w:pStyle w:val="ListBullet"/>
        <w:spacing w:after="40"/>
      </w:pPr>
      <w:r>
        <w:t>**LNG density at −162°C**: approx. 425–450 kg/m³</w:t>
      </w:r>
    </w:p>
    <w:p>
      <w:pPr>
        <w:pStyle w:val="Heading1"/>
      </w:pPr>
      <w:r>
        <w:t>8. Trainee Assessment Checklist</w:t>
      </w:r>
    </w:p>
    <w:p>
      <w:r>
        <w:t>The instructor should verify the trainee can:</w:t>
      </w:r>
    </w:p>
    <w:p>
      <w:pPr>
        <w:pStyle w:val="ListBullet"/>
      </w:pPr>
      <w:r>
        <w:t>Identify all panels and their functions.</w:t>
      </w:r>
    </w:p>
    <w:p>
      <w:pPr>
        <w:pStyle w:val="ListBullet"/>
      </w:pPr>
      <w:r>
        <w:t>Read and interpret gauge values and colour codes.</w:t>
      </w:r>
    </w:p>
    <w:p>
      <w:pPr>
        <w:pStyle w:val="ListBullet"/>
      </w:pPr>
      <w:r>
        <w:t>Operate valve controls correctly.</w:t>
      </w:r>
    </w:p>
    <w:p>
      <w:pPr>
        <w:pStyle w:val="ListBullet"/>
      </w:pPr>
      <w:r>
        <w:t>Acknowledge and respond to alarms within appropriate time.</w:t>
      </w:r>
    </w:p>
    <w:p>
      <w:pPr>
        <w:pStyle w:val="ListBullet"/>
      </w:pPr>
      <w:r>
        <w:t>Execute the Emergency Shutdown procedure.</w:t>
      </w:r>
    </w:p>
    <w:p>
      <w:pPr>
        <w:pStyle w:val="ListBullet"/>
      </w:pPr>
      <w:r>
        <w:t>Complete at least two training scenarios with all checklist items done.</w:t>
      </w:r>
    </w:p>
    <w:p>
      <w:pPr>
        <w:pStyle w:val="ListBullet"/>
      </w:pPr>
      <w:r>
        <w:t>Explain the regulatory basis for the system (where applicable).</w:t>
      </w:r>
    </w:p>
    <w:tbl>
      <w:tblPr>
        <w:tblStyle w:val="LightGrid-Accent1"/>
        <w:tblW w:type="auto" w:w="0"/>
        <w:tblLook w:firstColumn="1" w:firstRow="1" w:lastColumn="0" w:lastRow="0" w:noHBand="0" w:noVBand="1" w:val="04A0"/>
      </w:tblPr>
      <w:tblGrid>
        <w:gridCol w:w="2880"/>
        <w:gridCol w:w="2880"/>
        <w:gridCol w:w="2880"/>
      </w:tblGrid>
      <w:tr>
        <w:tc>
          <w:tcPr>
            <w:tcW w:type="dxa" w:w="2880"/>
          </w:tcPr>
          <w:p>
            <w:r>
              <w:rPr>
                <w:b/>
              </w:rPr>
              <w:t>Assessment Item</w:t>
            </w:r>
          </w:p>
        </w:tc>
        <w:tc>
          <w:tcPr>
            <w:tcW w:type="dxa" w:w="2880"/>
          </w:tcPr>
          <w:p>
            <w:r>
              <w:rPr>
                <w:b/>
              </w:rPr>
              <w:t>Result (Pass/Fail)</w:t>
            </w:r>
          </w:p>
        </w:tc>
        <w:tc>
          <w:tcPr>
            <w:tcW w:type="dxa" w:w="2880"/>
          </w:tcPr>
          <w:p>
            <w:r>
              <w:rPr>
                <w:b/>
              </w:rPr>
              <w:t>Remarks</w:t>
            </w:r>
          </w:p>
        </w:tc>
      </w:tr>
      <w:tr>
        <w:tc>
          <w:tcPr>
            <w:tcW w:type="dxa" w:w="2880"/>
          </w:tcPr>
          <w:p>
            <w:r>
              <w:t>Scenario Completion</w:t>
            </w:r>
          </w:p>
        </w:tc>
        <w:tc>
          <w:tcPr>
            <w:tcW w:type="dxa" w:w="2880"/>
          </w:tcPr>
          <w:p/>
        </w:tc>
        <w:tc>
          <w:tcPr>
            <w:tcW w:type="dxa" w:w="2880"/>
          </w:tcPr>
          <w:p/>
        </w:tc>
      </w:tr>
      <w:tr>
        <w:tc>
          <w:tcPr>
            <w:tcW w:type="dxa" w:w="2880"/>
          </w:tcPr>
          <w:p>
            <w:r>
              <w:t>Alarm Response</w:t>
            </w:r>
          </w:p>
        </w:tc>
        <w:tc>
          <w:tcPr>
            <w:tcW w:type="dxa" w:w="2880"/>
          </w:tcPr>
          <w:p/>
        </w:tc>
        <w:tc>
          <w:tcPr>
            <w:tcW w:type="dxa" w:w="2880"/>
          </w:tcPr>
          <w:p/>
        </w:tc>
      </w:tr>
      <w:tr>
        <w:tc>
          <w:tcPr>
            <w:tcW w:type="dxa" w:w="2880"/>
          </w:tcPr>
          <w:p>
            <w:r>
              <w:t>Emergency Procedure</w:t>
            </w:r>
          </w:p>
        </w:tc>
        <w:tc>
          <w:tcPr>
            <w:tcW w:type="dxa" w:w="2880"/>
          </w:tcPr>
          <w:p/>
        </w:tc>
        <w:tc>
          <w:tcPr>
            <w:tcW w:type="dxa" w:w="2880"/>
          </w:tcPr>
          <w:p/>
        </w:tc>
      </w:tr>
    </w:tbl>
    <w:p/>
    <w:p>
      <w:pPr>
        <w:jc w:val="center"/>
      </w:pPr>
      <w:r>
        <w:rPr>
          <w:color w:val="969696"/>
          <w:sz w:val="16"/>
        </w:rPr>
        <w:t>Generated by BlueSim Training Guide System</w:t>
      </w:r>
    </w:p>
    <w:sectPr w:rsidR="00FC693F" w:rsidRPr="0006063C" w:rsidSect="00034616"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  <w:pPr>
      <w:spacing w:after="80"/>
    </w:pPr>
    <w:rPr>
      <w:rFonts w:ascii="Calibri" w:hAnsi="Calibri"/>
      <w:sz w:val="18"/>
    </w:rPr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/>
  <cp:revision>1</cp:revision>
  <dcterms:created xsi:type="dcterms:W3CDTF">2013-12-23T23:15:00Z</dcterms:created>
  <dcterms:modified xsi:type="dcterms:W3CDTF">2013-12-23T23:15:00Z</dcterms:modified>
  <cp:category/>
</cp:coreProperties>
</file>