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SCR (Selective Catalytic Reduction) Simulator</w:t>
      </w:r>
    </w:p>
    <w:p>
      <w:pPr>
        <w:jc w:val="center"/>
      </w:pPr>
      <w:r>
        <w:rPr>
          <w:color w:val="646464"/>
          <w:sz w:val="24"/>
        </w:rPr>
        <w:t>Engine Room Equipment</w:t>
      </w:r>
    </w:p>
    <w:p>
      <w:pPr>
        <w:jc w:val="center"/>
      </w:pPr>
      <w:r>
        <w:rPr>
          <w:color w:val="505050"/>
          <w:sz w:val="20"/>
        </w:rPr>
        <w:t>Wärtsilä/MAN SCR system for NOx reduction using urea (AdBlue) per MARPOL Annex VI Reg.13 Tier III and NTC 2008.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Wärtsilä/MAN SCR system for NOx reduction using urea (AdBlue) per MARPOL Annex VI Reg.13 Tier III and NTC 2008.</w:t>
      </w:r>
    </w:p>
    <w:p>
      <w:pPr>
        <w:pStyle w:val="Heading2"/>
      </w:pPr>
      <w:r>
        <w:t>Key Features</w:t>
      </w:r>
    </w:p>
    <w:p>
      <w:pPr>
        <w:pStyle w:val="ListBullet"/>
      </w:pPr>
      <w:r>
        <w:t>SCR with urea injection system — NOx reduction up to 90%, achieving Tier III 3.4 g/kWh.</w:t>
      </w:r>
    </w:p>
    <w:p>
      <w:pPr>
        <w:pStyle w:val="ListBullet"/>
      </w:pPr>
      <w:r>
        <w:t>Catalyst temperature monitoring with low-temperature bypass interlock (min 320°C).</w:t>
      </w:r>
    </w:p>
    <w:p>
      <w:pPr>
        <w:pStyle w:val="ListBullet"/>
      </w:pPr>
      <w:r>
        <w:t>Ammonia slip monitoring — IACS UR M74 limit of 10 ppm enforced with alarm.</w:t>
      </w:r>
    </w:p>
    <w:p>
      <w:pPr>
        <w:pStyle w:val="ListBullet"/>
      </w:pPr>
      <w:r>
        <w:t>Catalyst preheating sequence with real-time readiness indicator.</w:t>
      </w:r>
    </w:p>
    <w:p>
      <w:pPr>
        <w:pStyle w:val="ListBullet"/>
      </w:pPr>
      <w:r>
        <w:t>Scenarios: Tier III Activation, Low Temperature Bypass, Ammonia Slip Alarm, Urea Tank Low.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SCR 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P&amp;amp;ID — SCR SYSTEM &amp;amp; NOx REDUCTION GRAPH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GAUGES &amp;amp;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ACTIVE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PIPELINE LINEUP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OPERATION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NOx COMPLIANCE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EXH INLET [C]</w:t>
            </w:r>
          </w:p>
        </w:tc>
      </w:tr>
      <w:tr>
        <w:tc>
          <w:tcPr>
            <w:tcW w:type="dxa" w:w="8640"/>
          </w:tcPr>
          <w:p>
            <w:r>
              <w:t>UREA INJ [C]</w:t>
            </w:r>
          </w:p>
        </w:tc>
      </w:tr>
      <w:tr>
        <w:tc>
          <w:tcPr>
            <w:tcW w:type="dxa" w:w="8640"/>
          </w:tcPr>
          <w:p>
            <w:r>
              <w:t>SCR BYPASS [O]</w:t>
            </w:r>
          </w:p>
        </w:tc>
      </w:tr>
      <w:tr>
        <w:tc>
          <w:tcPr>
            <w:tcW w:type="dxa" w:w="8640"/>
          </w:tcPr>
          <w:p>
            <w:r>
              <w:t>SOOT BLW [C]</w:t>
            </w:r>
          </w:p>
        </w:tc>
      </w:tr>
    </w:tbl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Selective Catalytic Reduction (SCR) — Technical Reference</w:t>
      </w:r>
    </w:p>
    <w:p>
      <w:pPr>
        <w:pStyle w:val="Heading3"/>
      </w:pPr>
      <w:r>
        <w:t>Regulatory Framework</w:t>
      </w:r>
    </w:p>
    <w:p>
      <w:pPr>
        <w:pStyle w:val="Heading4"/>
      </w:pPr>
      <w:r>
        <w:t>MARPOL Annex VI — Prevention of Air Pollution from Ships</w:t>
      </w:r>
    </w:p>
    <w:p>
      <w:r>
        <w:t>#### Regulation 13 — Nitrogen Oxides (NOx)</w:t>
      </w:r>
    </w:p>
    <w:p>
      <w:pPr>
        <w:pStyle w:val="ListBullet"/>
        <w:spacing w:after="40"/>
      </w:pPr>
      <w:r>
        <w:t>**Tier III** applies in NOx Tier III ECAs for engines with power output ≥130 kW</w:t>
      </w:r>
    </w:p>
    <w:p>
      <w:pPr>
        <w:pStyle w:val="ListBullet"/>
        <w:spacing w:after="40"/>
      </w:pPr>
      <w:r>
        <w:t>Tier III limit for n &lt; 130 rpm: **3.4 g/kWh**</w:t>
      </w:r>
    </w:p>
    <w:p>
      <w:pPr>
        <w:pStyle w:val="ListBullet"/>
        <w:spacing w:after="40"/>
      </w:pPr>
      <w:r>
        <w:t>Applies to ships built on or after 1 January 2016 operating in:</w:t>
      </w:r>
    </w:p>
    <w:p>
      <w:r>
        <w:t xml:space="preserve">  - North American ECA (from 1 January 2016)</w:t>
      </w:r>
    </w:p>
    <w:p>
      <w:r>
        <w:t xml:space="preserve">  - US Caribbean Sea ECA (from 1 January 2016)</w:t>
      </w:r>
    </w:p>
    <w:p>
      <w:r>
        <w:t xml:space="preserve">  - Baltic Sea NOx ECA (from 1 January 2021)</w:t>
      </w:r>
    </w:p>
    <w:p>
      <w:r>
        <w:t xml:space="preserve">  - North Sea NOx ECA (from 1 January 2021)</w:t>
      </w:r>
    </w:p>
    <w:p>
      <w:pPr>
        <w:pStyle w:val="Heading4"/>
      </w:pPr>
      <w:r>
        <w:t>NOx Technical Code 2008 (NTC 2008)</w:t>
      </w:r>
    </w:p>
    <w:p>
      <w:pPr>
        <w:pStyle w:val="ListBullet"/>
        <w:spacing w:after="40"/>
      </w:pPr>
      <w:r>
        <w:t>SCR system must be certified as part of the approved engine NOx configuration</w:t>
      </w:r>
    </w:p>
    <w:p>
      <w:pPr>
        <w:pStyle w:val="ListBullet"/>
        <w:spacing w:after="40"/>
      </w:pPr>
      <w:r>
        <w:t>EIAPP (Engine International Air Pollution Prevention) Certificate must be endorsed for SCR mode</w:t>
      </w:r>
    </w:p>
    <w:p>
      <w:pPr>
        <w:pStyle w:val="ListBullet"/>
        <w:spacing w:after="40"/>
      </w:pPr>
      <w:r>
        <w:t>On-board NOx Verification Procedure (ONVP) for Tier III confirmation</w:t>
      </w:r>
    </w:p>
    <w:p>
      <w:pPr>
        <w:pStyle w:val="ListBullet"/>
        <w:spacing w:after="40"/>
      </w:pPr>
      <w:r>
        <w:t>Urea consumption must be monitored and recorded</w:t>
      </w:r>
    </w:p>
    <w:p>
      <w:pPr>
        <w:pStyle w:val="Heading4"/>
      </w:pPr>
      <w:r>
        <w:t>IACS UR M74 — NOx Monitoring</w:t>
      </w:r>
    </w:p>
    <w:p>
      <w:pPr>
        <w:pStyle w:val="ListBullet"/>
        <w:spacing w:after="40"/>
      </w:pPr>
      <w:r>
        <w:t>Continuous NOx monitoring required for Tier III systems</w:t>
      </w:r>
    </w:p>
    <w:p>
      <w:pPr>
        <w:pStyle w:val="ListBullet"/>
        <w:spacing w:after="40"/>
      </w:pPr>
      <w:r>
        <w:t>Urea injection rate cross-checked against engine load/NOx curve</w:t>
      </w:r>
    </w:p>
    <w:p>
      <w:pPr>
        <w:pStyle w:val="ListBullet"/>
        <w:spacing w:after="40"/>
      </w:pPr>
      <w:r>
        <w:t>Annual survey requirements for catalyst condition assessment</w:t>
      </w:r>
    </w:p>
    <w:p>
      <w:pPr>
        <w:pStyle w:val="ListBullet"/>
        <w:spacing w:after="40"/>
      </w:pPr>
      <w:r>
        <w:t>Ammonia slip detector mandatory: limit 10 ppm</w:t>
      </w:r>
    </w:p>
    <w:p>
      <w:r>
        <w:t>---</w:t>
      </w:r>
    </w:p>
    <w:p>
      <w:pPr>
        <w:pStyle w:val="Heading3"/>
      </w:pPr>
      <w:r>
        <w:t>SCR Operating Principle</w:t>
      </w:r>
    </w:p>
    <w:p>
      <w:r>
        <w:t>Selective Catalytic Reduction converts NOx to nitrogen (N₂) and water (H₂O) using:</w:t>
      </w:r>
    </w:p>
    <w:p>
      <w:pPr>
        <w:pStyle w:val="ListBullet"/>
        <w:spacing w:after="40"/>
      </w:pPr>
      <w:r>
        <w:t>**Reducing agent**: Urea solution (AdBlue/DEF — 32.5% aqueous urea)</w:t>
      </w:r>
    </w:p>
    <w:p>
      <w:pPr>
        <w:pStyle w:val="ListBullet"/>
        <w:spacing w:after="40"/>
      </w:pPr>
      <w:r>
        <w:t>**Catalyst**: Vanadium-titanium oxide (V₂O₅/TiO₂) or zeolite-based</w:t>
      </w:r>
    </w:p>
    <w:p>
      <w:pPr>
        <w:pStyle w:val="ListBullet"/>
        <w:spacing w:after="40"/>
      </w:pPr>
      <w:r>
        <w:t>**Reactions**:</w:t>
      </w:r>
    </w:p>
    <w:p>
      <w:r>
        <w:t xml:space="preserve">  - Urea thermolysis: CO(NH₂)₂ → NH₃ + HNCO</w:t>
      </w:r>
    </w:p>
    <w:p>
      <w:r>
        <w:t xml:space="preserve">  - Hydrolysis: HNCO + H₂O → NH₃ + CO₂</w:t>
      </w:r>
    </w:p>
    <w:p>
      <w:r>
        <w:t xml:space="preserve">  - Standard SCR: 4 NH₃ + 4 NO + O₂ → 4 N₂ + 6 H₂O</w:t>
      </w:r>
    </w:p>
    <w:p>
      <w:r>
        <w:t xml:space="preserve">  - Fast SCR: 2 NH₃ + NO + NO₂ → 2 N₂ + 3 H₂O</w:t>
      </w:r>
    </w:p>
    <w:p>
      <w:r>
        <w:t>---</w:t>
      </w:r>
    </w:p>
    <w:p>
      <w:pPr>
        <w:pStyle w:val="Heading3"/>
      </w:pPr>
      <w:r>
        <w:t>Equipment Parameters</w:t>
      </w:r>
    </w:p>
    <w:p>
      <w:pPr>
        <w:pStyle w:val="Heading4"/>
      </w:pPr>
      <w:r>
        <w:t>Catalyst Bed</w:t>
      </w:r>
    </w:p>
    <w:p>
      <w:r>
        <w:t>| Parameter | Value |</w:t>
      </w:r>
    </w:p>
    <w:p>
      <w:r>
        <w:t>|-----------|-------|</w:t>
      </w:r>
    </w:p>
    <w:p>
      <w:r>
        <w:t>| Optimal temperature | 350–550°C |</w:t>
      </w:r>
    </w:p>
    <w:p>
      <w:r>
        <w:t>| Minimum operating temp | 320°C |</w:t>
      </w:r>
    </w:p>
    <w:p>
      <w:r>
        <w:t>| Maximum temp (catalyst damage) | 650°C |</w:t>
      </w:r>
    </w:p>
    <w:p>
      <w:r>
        <w:t>| Catalyst type | V₂O₅/TiO₂ or Zeolite |</w:t>
      </w:r>
    </w:p>
    <w:p>
      <w:r>
        <w:t>| NOx reduction efficiency | 85–95% |</w:t>
      </w:r>
    </w:p>
    <w:p>
      <w:r>
        <w:t>| Life expectancy | 20,000–30,000 operating hours |</w:t>
      </w:r>
    </w:p>
    <w:p>
      <w:pPr>
        <w:pStyle w:val="Heading4"/>
      </w:pPr>
      <w:r>
        <w:t>Urea Injection System</w:t>
      </w:r>
    </w:p>
    <w:p>
      <w:r>
        <w:t>| Parameter | Value |</w:t>
      </w:r>
    </w:p>
    <w:p>
      <w:r>
        <w:t>|-----------|-------|</w:t>
      </w:r>
    </w:p>
    <w:p>
      <w:r>
        <w:t>| Urea solution concentration | 32.5% (AdBlue / ISO 22241) |</w:t>
      </w:r>
    </w:p>
    <w:p>
      <w:r>
        <w:t>| Injection method | Compressed air-assisted nozzle |</w:t>
      </w:r>
    </w:p>
    <w:p>
      <w:r>
        <w:t>| Dosing range | 0–50 kg/h |</w:t>
      </w:r>
    </w:p>
    <w:p>
      <w:r>
        <w:t>| Urea tank capacity | 20–60 m³ (voyage dependent) |</w:t>
      </w:r>
    </w:p>
    <w:p>
      <w:r>
        <w:t>| Low level alarm | 20% |</w:t>
      </w:r>
    </w:p>
    <w:p>
      <w:pPr>
        <w:pStyle w:val="Heading4"/>
      </w:pPr>
      <w:r>
        <w:t>Ammonia Slip</w:t>
      </w:r>
    </w:p>
    <w:p>
      <w:r>
        <w:t>| Parameter | Value |</w:t>
      </w:r>
    </w:p>
    <w:p>
      <w:r>
        <w:t>|-----------|-------|</w:t>
      </w:r>
    </w:p>
    <w:p>
      <w:r>
        <w:t>| Maximum allowed | &lt;10 ppm (IACS UR M74) |</w:t>
      </w:r>
    </w:p>
    <w:p>
      <w:r>
        <w:t>| Measurement | After catalyst, before stack |</w:t>
      </w:r>
    </w:p>
    <w:p>
      <w:r>
        <w:t>| Cause of high slip | Over-dosing urea |</w:t>
      </w:r>
    </w:p>
    <w:p>
      <w:r>
        <w:t>| Response | Reduce injection rate |</w:t>
      </w:r>
    </w:p>
    <w:p>
      <w:r>
        <w:t>---</w:t>
      </w:r>
    </w:p>
    <w:p>
      <w:pPr>
        <w:pStyle w:val="Heading3"/>
      </w:pPr>
      <w:r>
        <w:t>Catalyst Preheating Sequence</w:t>
      </w:r>
    </w:p>
    <w:p>
      <w:r>
        <w:t>The SCR catalyst must reach minimum operating temperature before urea injection begins:</w:t>
      </w:r>
    </w:p>
    <w:p>
      <w:r>
        <w:t>1. Exhaust gas reaches SCR inlet</w:t>
      </w:r>
    </w:p>
    <w:p>
      <w:r>
        <w:t>2. Catalyst heats from exhaust gas (may take 10–30 minutes depending on engine load)</w:t>
      </w:r>
    </w:p>
    <w:p>
      <w:r>
        <w:t>3. Temperature sensor confirms &gt;320°C</w:t>
      </w:r>
    </w:p>
    <w:p>
      <w:r>
        <w:t>4. Catalyst preheating complete → SCR system READY</w:t>
      </w:r>
    </w:p>
    <w:p>
      <w:r>
        <w:t>5. Begin urea injection at low rate</w:t>
      </w:r>
    </w:p>
    <w:p>
      <w:r>
        <w:t>6. Gradually increase to target dose rate per NOx curve</w:t>
      </w:r>
    </w:p>
    <w:p>
      <w:r>
        <w:t>Cold Start: If catalyst temperature is below 320°C:</w:t>
      </w:r>
    </w:p>
    <w:p>
      <w:pPr>
        <w:pStyle w:val="ListBullet"/>
        <w:spacing w:after="40"/>
      </w:pPr>
      <w:r>
        <w:t>**Bypass damper must be opened** — exhaust routed around catalyst</w:t>
      </w:r>
    </w:p>
    <w:p>
      <w:pPr>
        <w:pStyle w:val="ListBullet"/>
        <w:spacing w:after="40"/>
      </w:pPr>
      <w:r>
        <w:t>Avoid injecting urea at low temperature — causes catalyst fouling with ammonium bisulphate</w:t>
      </w:r>
    </w:p>
    <w:p>
      <w:pPr>
        <w:pStyle w:val="ListBullet"/>
        <w:spacing w:after="40"/>
      </w:pPr>
      <w:r>
        <w:t>Continue in Tier II mode (fuel-based compliance) until temperature achieved</w:t>
      </w:r>
    </w:p>
    <w:p>
      <w:r>
        <w:t>---</w:t>
      </w:r>
    </w:p>
    <w:p>
      <w:pPr>
        <w:pStyle w:val="Heading3"/>
      </w:pPr>
      <w:r>
        <w:t>Performance Curve</w:t>
      </w:r>
    </w:p>
    <w:p>
      <w:r>
        <w:t>Typical NOx reduction vs urea dose rate relationship:</w:t>
      </w:r>
    </w:p>
    <w:p>
      <w:r>
        <w:t>| Dose Rate (kg/h) | NOx Reduction (%) | NOx Out (g/kWh) | NH₃ Slip (ppm) |</w:t>
      </w:r>
    </w:p>
    <w:p>
      <w:r>
        <w:t>|-----------------|-----------------|-----------------|----------------|</w:t>
      </w:r>
    </w:p>
    <w:p>
      <w:r>
        <w:t>| 0 | 0 | 14.0 | 0 |</w:t>
      </w:r>
    </w:p>
    <w:p>
      <w:r>
        <w:t>| 5 | 35 | 9.1 | &lt;1 |</w:t>
      </w:r>
    </w:p>
    <w:p>
      <w:r>
        <w:t>| 10 | 60 | 5.6 | 2 |</w:t>
      </w:r>
    </w:p>
    <w:p>
      <w:r>
        <w:t>| 20 | 78 | 3.1 | 4 |</w:t>
      </w:r>
    </w:p>
    <w:p>
      <w:r>
        <w:t>| 30 | 86 | 2.0 | 7 |</w:t>
      </w:r>
    </w:p>
    <w:p>
      <w:r>
        <w:t>| 40 | 88 | 1.7 | 12 (exceeds limit!) |</w:t>
      </w:r>
    </w:p>
    <w:p>
      <w:r>
        <w:t>| 50 | 89 | 1.5 | 25 (far exceeds!) |</w:t>
      </w:r>
    </w:p>
    <w:p>
      <w:r>
        <w:t>Target: NOx &lt;3.4 g/kWh with NH₃ slip &lt;10 ppm.</w:t>
      </w:r>
    </w:p>
    <w:p>
      <w:r>
        <w:t>Optimal operating point: ~25–35 kg/h at typical engine load.</w:t>
      </w:r>
    </w:p>
    <w:p>
      <w:r>
        <w:t>---</w:t>
      </w:r>
    </w:p>
    <w:p>
      <w:pPr>
        <w:pStyle w:val="Heading3"/>
      </w:pPr>
      <w:r>
        <w:t>Alarm Setpoints</w:t>
      </w:r>
    </w:p>
    <w:p>
      <w:r>
        <w:t>| ID | Description | Setpoint | Type |</w:t>
      </w:r>
    </w:p>
    <w:p>
      <w:r>
        <w:t>|----|-------------|----------|------|</w:t>
      </w:r>
    </w:p>
    <w:p>
      <w:r>
        <w:t>| SCR-001 | High ammonia slip | &gt;10 ppm | Alarm |</w:t>
      </w:r>
    </w:p>
    <w:p>
      <w:r>
        <w:t>| SCR-002 | Low catalyst temperature — bypass | &lt;320°C | Alarm |</w:t>
      </w:r>
    </w:p>
    <w:p>
      <w:r>
        <w:t>| SCR-003 | High catalyst temperature | &gt;620°C | Alarm |</w:t>
      </w:r>
    </w:p>
    <w:p>
      <w:r>
        <w:t>| SCR-004 | NOx out of limits | &gt;3.4 g/kWh (T3 ECA) | Alarm |</w:t>
      </w:r>
    </w:p>
    <w:p>
      <w:r>
        <w:t>| SCR-005 | Urea tank low level | &lt;20% | Warning |</w:t>
      </w:r>
    </w:p>
    <w:p>
      <w:r>
        <w:t>| SCR-006 | Urea dosing pump fault | — | Alarm |</w:t>
      </w:r>
    </w:p>
    <w:p>
      <w:r>
        <w:t>| SCR-007 | Soot blower fault | — | Warning |</w:t>
      </w:r>
    </w:p>
    <w:p>
      <w:r>
        <w:t>| SCR-008 | NOx sensor fault | — | Warning |</w:t>
      </w:r>
    </w:p>
    <w:p>
      <w:r>
        <w:t>---</w:t>
      </w:r>
    </w:p>
    <w:p>
      <w:pPr>
        <w:pStyle w:val="Heading3"/>
      </w:pPr>
      <w:r>
        <w:t>Operating Procedure</w:t>
      </w:r>
    </w:p>
    <w:p>
      <w:pPr>
        <w:pStyle w:val="Heading4"/>
      </w:pPr>
      <w:r>
        <w:t>Tier III Activation (from Tier II)</w:t>
      </w:r>
    </w:p>
    <w:p>
      <w:r>
        <w:t>1. Confirm ECA approach — minimum 1 hour before boundary.</w:t>
      </w:r>
    </w:p>
    <w:p>
      <w:r>
        <w:t>2. Check catalyst temperature ≥320°C (normally achieved at &gt;25% engine load).</w:t>
      </w:r>
    </w:p>
    <w:p>
      <w:r>
        <w:t>3. Open SCR exhaust inlet valve.</w:t>
      </w:r>
    </w:p>
    <w:p>
      <w:r>
        <w:t>4. Close SCR bypass valve.</w:t>
      </w:r>
    </w:p>
    <w:p>
      <w:r>
        <w:t>5. Start urea dosing pump.</w:t>
      </w:r>
    </w:p>
    <w:p>
      <w:r>
        <w:t>6. Open urea injection valve.</w:t>
      </w:r>
    </w:p>
    <w:p>
      <w:r>
        <w:t>7. Gradually increase urea injection rate to target per engine NOx curve.</w:t>
      </w:r>
    </w:p>
    <w:p>
      <w:r>
        <w:t>8. Confirm NOx after SCR &lt;3.4 g/kWh within 10 minutes.</w:t>
      </w:r>
    </w:p>
    <w:p>
      <w:r>
        <w:t>9. Monitor ammonia slip continuously — must remain &lt;10 ppm.</w:t>
      </w:r>
    </w:p>
    <w:p>
      <w:r>
        <w:t>10. Log Tier III activation in engine log and EDR.</w:t>
      </w:r>
    </w:p>
    <w:p>
      <w:pPr>
        <w:pStyle w:val="Heading4"/>
      </w:pPr>
      <w:r>
        <w:t>Bypass Procedure (Low Temperature / Fault)</w:t>
      </w:r>
    </w:p>
    <w:p>
      <w:r>
        <w:t>1. Close urea injection valve immediately.</w:t>
      </w:r>
    </w:p>
    <w:p>
      <w:r>
        <w:t>2. Stop urea dosing pump.</w:t>
      </w:r>
    </w:p>
    <w:p>
      <w:r>
        <w:t>3. Open SCR bypass valve.</w:t>
      </w:r>
    </w:p>
    <w:p>
      <w:r>
        <w:t>4. Close SCR exhaust inlet valve.</w:t>
      </w:r>
    </w:p>
    <w:p>
      <w:r>
        <w:t>5. Revert to Tier II operation (distillate or low-S HFO as applicable).</w:t>
      </w:r>
    </w:p>
    <w:p>
      <w:r>
        <w:t>6. Log bypass event with reason and duration.</w:t>
      </w:r>
    </w:p>
    <w:p>
      <w:r>
        <w:t>---</w:t>
      </w:r>
    </w:p>
    <w:p>
      <w:pPr>
        <w:pStyle w:val="Heading3"/>
      </w:pPr>
      <w:r>
        <w:t>Soot Blower Operation</w:t>
      </w:r>
    </w:p>
    <w:p>
      <w:pPr>
        <w:pStyle w:val="ListBullet"/>
        <w:spacing w:after="40"/>
      </w:pPr>
      <w:r>
        <w:t>Periodic cleaning of catalyst elements</w:t>
      </w:r>
    </w:p>
    <w:p>
      <w:pPr>
        <w:pStyle w:val="ListBullet"/>
        <w:spacing w:after="40"/>
      </w:pPr>
      <w:r>
        <w:t>Steam or compressed air soot blowing</w:t>
      </w:r>
    </w:p>
    <w:p>
      <w:pPr>
        <w:pStyle w:val="ListBullet"/>
        <w:spacing w:after="40"/>
      </w:pPr>
      <w:r>
        <w:t>Frequency: every 24–72 hours depending on soot load</w:t>
      </w:r>
    </w:p>
    <w:p>
      <w:pPr>
        <w:pStyle w:val="ListBullet"/>
        <w:spacing w:after="40"/>
      </w:pPr>
      <w:r>
        <w:t>During soot blowing: brief increase in particulate emission — log event</w:t>
      </w:r>
    </w:p>
    <w:p>
      <w:r>
        <w:t>---</w:t>
      </w:r>
    </w:p>
    <w:p>
      <w:pPr>
        <w:pStyle w:val="Heading3"/>
      </w:pPr>
      <w:r>
        <w:t>References</w:t>
      </w:r>
    </w:p>
    <w:p>
      <w:pPr>
        <w:pStyle w:val="ListBullet"/>
        <w:spacing w:after="40"/>
      </w:pPr>
      <w:r>
        <w:t>MARPOL 73/78 Annex VI, Regulation 13 — NOx</w:t>
      </w:r>
    </w:p>
    <w:p>
      <w:pPr>
        <w:pStyle w:val="ListBullet"/>
        <w:spacing w:after="40"/>
      </w:pPr>
      <w:r>
        <w:t>NOx Technical Code 2008 (NTC 2008)</w:t>
      </w:r>
    </w:p>
    <w:p>
      <w:pPr>
        <w:pStyle w:val="ListBullet"/>
        <w:spacing w:after="40"/>
      </w:pPr>
      <w:r>
        <w:t>IACS UR M74 — NOx Monitoring Equipment</w:t>
      </w:r>
    </w:p>
    <w:p>
      <w:pPr>
        <w:pStyle w:val="ListBullet"/>
        <w:spacing w:after="40"/>
      </w:pPr>
      <w:r>
        <w:t>ISO 22241 — Diesel engine NOx reduction agents — AUS 32 (AdBlue)</w:t>
      </w:r>
    </w:p>
    <w:p>
      <w:pPr>
        <w:pStyle w:val="ListBullet"/>
        <w:spacing w:after="40"/>
      </w:pPr>
      <w:r>
        <w:t>Wärtsilä SCR System Technical Manual</w:t>
      </w:r>
    </w:p>
    <w:p>
      <w:pPr>
        <w:pStyle w:val="ListBullet"/>
        <w:spacing w:after="40"/>
      </w:pPr>
      <w:r>
        <w:t>MAN Energy Solutions SCR Engineering Guidelines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