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
      <w:pPr>
        <w:jc w:val="center"/>
      </w:pPr>
      <w:r>
        <w:rPr>
          <w:b/>
          <w:color w:val="00788C"/>
          <w:sz w:val="28"/>
        </w:rPr>
        <w:t>BlueSim Training Guide</w:t>
      </w:r>
    </w:p>
    <w:p>
      <w:pPr>
        <w:jc w:val="center"/>
      </w:pPr>
      <w:r>
        <w:rPr>
          <w:b/>
          <w:sz w:val="48"/>
        </w:rPr>
        <w:t>Shore Power / Cold Ironing</w:t>
      </w:r>
    </w:p>
    <w:p>
      <w:pPr>
        <w:jc w:val="center"/>
      </w:pPr>
      <w:r>
        <w:rPr>
          <w:color w:val="646464"/>
          <w:sz w:val="24"/>
        </w:rPr>
        <w:t>Electrical &amp; Power</w:t>
      </w:r>
    </w:p>
    <w:p>
      <w:pPr>
        <w:jc w:val="center"/>
      </w:pPr>
      <w:r>
        <w:rPr>
          <w:color w:val="505050"/>
          <w:sz w:val="20"/>
        </w:rPr>
        <w:t>High Voltage Shore Connection (HVSC) cold ironing simulator with voltage/frequency matching, frequency converter, transformer tap changer, and CO2 savings display.</w:t>
      </w:r>
    </w:p>
    <w:p>
      <w:r>
        <w:br w:type="page"/>
      </w:r>
    </w:p>
    <w:p>
      <w:pPr>
        <w:pStyle w:val="Heading1"/>
      </w:pPr>
      <w:r>
        <w:t>1. Display Requirements</w:t>
      </w:r>
    </w:p>
    <w:tbl>
      <w:tblPr>
        <w:tblStyle w:val="LightGrid-Accent1"/>
        <w:tblW w:type="auto" w:w="0"/>
        <w:jc w:val="left"/>
        <w:tblLook w:firstColumn="1" w:firstRow="1" w:lastColumn="0" w:lastRow="0" w:noHBand="0" w:noVBand="1" w:val="04A0"/>
      </w:tblPr>
      <w:tblGrid>
        <w:gridCol w:w="4320"/>
        <w:gridCol w:w="4320"/>
      </w:tblGrid>
      <w:tr>
        <w:tc>
          <w:tcPr>
            <w:tcW w:type="dxa" w:w="4320"/>
          </w:tcPr>
          <w:p>
            <w:r>
              <w:t>Optimal Resolution</w:t>
            </w:r>
          </w:p>
        </w:tc>
        <w:tc>
          <w:tcPr>
            <w:tcW w:type="dxa" w:w="4320"/>
          </w:tcPr>
          <w:p>
            <w:r>
              <w:t>1920 x 1080 (Full HD)</w:t>
            </w:r>
          </w:p>
        </w:tc>
      </w:tr>
      <w:tr>
        <w:tc>
          <w:tcPr>
            <w:tcW w:type="dxa" w:w="4320"/>
          </w:tcPr>
          <w:p>
            <w:r>
              <w:t>Minimum Resolution</w:t>
            </w:r>
          </w:p>
        </w:tc>
        <w:tc>
          <w:tcPr>
            <w:tcW w:type="dxa" w:w="4320"/>
          </w:tcPr>
          <w:p>
            <w:r>
              <w:t>1366 x 768</w:t>
            </w:r>
          </w:p>
        </w:tc>
      </w:tr>
      <w:tr>
        <w:tc>
          <w:tcPr>
            <w:tcW w:type="dxa" w:w="4320"/>
          </w:tcPr>
          <w:p>
            <w:r>
              <w:t>Aspect Ratio</w:t>
            </w:r>
          </w:p>
        </w:tc>
        <w:tc>
          <w:tcPr>
            <w:tcW w:type="dxa" w:w="4320"/>
          </w:tcPr>
          <w:p>
            <w:r>
              <w:t>16:9 (recommended) or 16:10</w:t>
            </w:r>
          </w:p>
        </w:tc>
      </w:tr>
      <w:tr>
        <w:tc>
          <w:tcPr>
            <w:tcW w:type="dxa" w:w="4320"/>
          </w:tcPr>
          <w:p>
            <w:r>
              <w:t>Browser</w:t>
            </w:r>
          </w:p>
        </w:tc>
        <w:tc>
          <w:tcPr>
            <w:tcW w:type="dxa" w:w="4320"/>
          </w:tcPr>
          <w:p>
            <w:r>
              <w:t>Chrome 90+, Firefox 90+, Edge 90+ (fullscreen recommended)</w:t>
            </w:r>
          </w:p>
        </w:tc>
      </w:tr>
      <w:tr>
        <w:tc>
          <w:tcPr>
            <w:tcW w:type="dxa" w:w="4320"/>
          </w:tcPr>
          <w:p>
            <w:r>
              <w:t>Input</w:t>
            </w:r>
          </w:p>
        </w:tc>
        <w:tc>
          <w:tcPr>
            <w:tcW w:type="dxa" w:w="4320"/>
          </w:tcPr>
          <w:p>
            <w:r>
              <w:t>Mouse + keyboard (touchscreen not supported)</w:t>
            </w:r>
          </w:p>
        </w:tc>
      </w:tr>
    </w:tbl>
    <w:p/>
    <w:p>
      <w:r>
        <w:rPr>
          <w:b/>
        </w:rPr>
        <w:t xml:space="preserve">Note: </w:t>
      </w:r>
      <w:r>
        <w:t>The simulator is designed for desktop use. On screens below 980 x 600 px, a "Screen Too Small" notice will appear. For the best experience, press F11 for fullscreen mode after launching the simulator.</w:t>
      </w:r>
    </w:p>
    <w:p>
      <w:pPr>
        <w:pStyle w:val="Heading1"/>
      </w:pPr>
      <w:r>
        <w:t>2. Simulator Overview</w:t>
      </w:r>
    </w:p>
    <w:p>
      <w:r>
        <w:t>High Voltage Shore Connection (HVSC) cold ironing simulator with voltage/frequency matching, frequency converter, transformer tap changer, and CO2 savings display.</w:t>
      </w:r>
    </w:p>
    <w:p>
      <w:pPr>
        <w:pStyle w:val="Heading2"/>
      </w:pPr>
      <w:r>
        <w:t>Key Features</w:t>
      </w:r>
    </w:p>
    <w:p>
      <w:pPr>
        <w:pStyle w:val="ListBullet"/>
      </w:pPr>
      <w:r>
        <w:t>6.6kV/11kV shore supply with transformer and frequency converter.</w:t>
      </w:r>
    </w:p>
    <w:p>
      <w:pPr>
        <w:pStyle w:val="ListBullet"/>
      </w:pPr>
      <w:r>
        <w:t>Full connection procedure: phase check, voltage match, breaker close, DG unload.</w:t>
      </w:r>
    </w:p>
    <w:p>
      <w:pPr>
        <w:pStyle w:val="ListBullet"/>
      </w:pPr>
      <w:r>
        <w:t>Live CO2 savings display in kg/hr when on shore power.</w:t>
      </w:r>
    </w:p>
    <w:p>
      <w:pPr>
        <w:pStyle w:val="ListBullet"/>
      </w:pPr>
      <w:r>
        <w:t>Transformer tap changer for voltage adjustment.</w:t>
      </w:r>
    </w:p>
    <w:p>
      <w:pPr>
        <w:pStyle w:val="ListBullet"/>
      </w:pPr>
      <w:r>
        <w:t>Three scenarios: Full Cold Ironing, Emergency Disconnect, Frequency Converter Operation.</w:t>
      </w:r>
    </w:p>
    <w:p>
      <w:pPr>
        <w:pStyle w:val="Heading1"/>
      </w:pPr>
      <w:r>
        <w:t>3. Interface Layout</w:t>
      </w:r>
    </w:p>
    <w:p>
      <w:r>
        <w:t>The simulator uses a multi-panel layout with the following regions:</w:t>
      </w:r>
    </w:p>
    <w:tbl>
      <w:tblPr>
        <w:tblStyle w:val="LightGrid-Accent1"/>
        <w:tblW w:type="auto" w:w="0"/>
        <w:tblLook w:firstColumn="1" w:firstRow="1" w:lastColumn="0" w:lastRow="0" w:noHBand="0" w:noVBand="1" w:val="04A0"/>
      </w:tblPr>
      <w:tblGrid>
        <w:gridCol w:w="4320"/>
        <w:gridCol w:w="4320"/>
      </w:tblGrid>
      <w:tr>
        <w:tc>
          <w:tcPr>
            <w:tcW w:type="dxa" w:w="4320"/>
          </w:tcPr>
          <w:p>
            <w:r>
              <w:rPr>
                <w:b/>
              </w:rPr>
              <w:t>Panel</w:t>
            </w:r>
          </w:p>
        </w:tc>
        <w:tc>
          <w:tcPr>
            <w:tcW w:type="dxa" w:w="4320"/>
          </w:tcPr>
          <w:p>
            <w:r>
              <w:rPr>
                <w:b/>
              </w:rPr>
              <w:t>Purpose</w:t>
            </w:r>
          </w:p>
        </w:tc>
      </w:tr>
      <w:tr>
        <w:tc>
          <w:tcPr>
            <w:tcW w:type="dxa" w:w="4320"/>
          </w:tcPr>
          <w:p>
            <w:r>
              <w:t>EXIT</w:t>
            </w:r>
          </w:p>
        </w:tc>
        <w:tc>
          <w:tcPr>
            <w:tcW w:type="dxa" w:w="4320"/>
          </w:tcPr>
          <w:p>
            <w:r>
              <w:t>Displays real-time system data, controls, and status indicators.</w:t>
            </w:r>
          </w:p>
        </w:tc>
      </w:tr>
      <w:tr>
        <w:tc>
          <w:tcPr>
            <w:tcW w:type="dxa" w:w="4320"/>
          </w:tcPr>
          <w:p>
            <w:r>
              <w:t>SHORE SUPPLY PARAMETERS</w:t>
            </w:r>
          </w:p>
        </w:tc>
        <w:tc>
          <w:tcPr>
            <w:tcW w:type="dxa" w:w="4320"/>
          </w:tcPr>
          <w:p>
            <w:r>
              <w:t>Displays real-time system data, controls, and status indicators.</w:t>
            </w:r>
          </w:p>
        </w:tc>
      </w:tr>
      <w:tr>
        <w:tc>
          <w:tcPr>
            <w:tcW w:type="dxa" w:w="4320"/>
          </w:tcPr>
          <w:p>
            <w:r>
              <w:t>HVSC SINGLE LINE DIAGRAM</w:t>
            </w:r>
          </w:p>
        </w:tc>
        <w:tc>
          <w:tcPr>
            <w:tcW w:type="dxa" w:w="4320"/>
          </w:tcPr>
          <w:p>
            <w:r>
              <w:t>Displays real-time system data, controls, and status indicators.</w:t>
            </w:r>
          </w:p>
        </w:tc>
      </w:tr>
      <w:tr>
        <w:tc>
          <w:tcPr>
            <w:tcW w:type="dxa" w:w="4320"/>
          </w:tcPr>
          <w:p>
            <w:r>
              <w:t>CONTROLS &amp; ALARMS</w:t>
            </w:r>
          </w:p>
        </w:tc>
        <w:tc>
          <w:tcPr>
            <w:tcW w:type="dxa" w:w="4320"/>
          </w:tcPr>
          <w:p>
            <w:r>
              <w:t>Displays real-time system data, controls, and status indicators.</w:t>
            </w:r>
          </w:p>
        </w:tc>
      </w:tr>
      <w:tr>
        <w:tc>
          <w:tcPr>
            <w:tcW w:type="dxa" w:w="4320"/>
          </w:tcPr>
          <w:p>
            <w:r>
              <w:t>DG STATUS</w:t>
            </w:r>
          </w:p>
        </w:tc>
        <w:tc>
          <w:tcPr>
            <w:tcW w:type="dxa" w:w="4320"/>
          </w:tcPr>
          <w:p>
            <w:r>
              <w:t>Displays real-time system data, controls, and status indicators.</w:t>
            </w:r>
          </w:p>
        </w:tc>
      </w:tr>
      <w:tr>
        <w:tc>
          <w:tcPr>
            <w:tcW w:type="dxa" w:w="4320"/>
          </w:tcPr>
          <w:p>
            <w:r>
              <w:t>SHORE POWER STATUS</w:t>
            </w:r>
          </w:p>
        </w:tc>
        <w:tc>
          <w:tcPr>
            <w:tcW w:type="dxa" w:w="4320"/>
          </w:tcPr>
          <w:p>
            <w:r>
              <w:t>Displays real-time system data, controls, and status indicators.</w:t>
            </w:r>
          </w:p>
        </w:tc>
      </w:tr>
      <w:tr>
        <w:tc>
          <w:tcPr>
            <w:tcW w:type="dxa" w:w="4320"/>
          </w:tcPr>
          <w:p>
            <w:r>
              <w:t>SCENARIO INFO</w:t>
            </w:r>
          </w:p>
        </w:tc>
        <w:tc>
          <w:tcPr>
            <w:tcW w:type="dxa" w:w="4320"/>
          </w:tcPr>
          <w:p>
            <w:r>
              <w:t>Displays real-time system data, controls, and status indicators.</w:t>
            </w:r>
          </w:p>
        </w:tc>
      </w:tr>
    </w:tbl>
    <w:p/>
    <w:p>
      <w:r>
        <w:rPr>
          <w:b/>
        </w:rPr>
        <w:t xml:space="preserve">Header Bar: </w:t>
      </w:r>
      <w:r>
        <w:t>Shows simulator title, regulatory reference, live clock, fullscreen toggle, and exit button.</w:t>
      </w:r>
    </w:p>
    <w:p>
      <w:r>
        <w:rPr>
          <w:b/>
        </w:rPr>
        <w:t xml:space="preserve">Left Panel: </w:t>
      </w:r>
      <w:r>
        <w:t>System gauges, valve controls, and operational parameters.</w:t>
      </w:r>
    </w:p>
    <w:p>
      <w:r>
        <w:rPr>
          <w:b/>
        </w:rPr>
        <w:t xml:space="preserve">Center Panel: </w:t>
      </w:r>
      <w:r>
        <w:t>P&amp;ID schematic or main visual display (canvas/SVG).</w:t>
      </w:r>
    </w:p>
    <w:p>
      <w:r>
        <w:rPr>
          <w:b/>
        </w:rPr>
        <w:t xml:space="preserve">Right Panel: </w:t>
      </w:r>
      <w:r>
        <w:t>Alarm management, emergency controls, and scenario buttons.</w:t>
      </w:r>
    </w:p>
    <w:p>
      <w:r>
        <w:rPr>
          <w:b/>
        </w:rPr>
        <w:t xml:space="preserve">Bottom Panels: </w:t>
      </w:r>
      <w:r>
        <w:t>Trend charts, gas detection, scenario checklists, and supplementary data.</w:t>
      </w:r>
    </w:p>
    <w:p>
      <w:pPr>
        <w:pStyle w:val="Heading1"/>
      </w:pPr>
      <w:r>
        <w:t>4. System Components</w:t>
      </w:r>
    </w:p>
    <w:p>
      <w:pPr>
        <w:pStyle w:val="Heading1"/>
      </w:pPr>
      <w:r>
        <w:t>5. Training Scenarios</w:t>
      </w:r>
    </w:p>
    <w:p>
      <w:r>
        <w:t>Scenario information will be displayed in the simulator modal on launch. Follow the on-screen checklist to complete each training objective.</w:t>
      </w:r>
    </w:p>
    <w:p>
      <w:pPr>
        <w:pStyle w:val="Heading1"/>
      </w:pPr>
      <w:r>
        <w:t>6. Emergency Procedures</w:t>
      </w:r>
    </w:p>
    <w:p>
      <w:r>
        <w:t>When an alarm condition occurs:</w:t>
      </w:r>
    </w:p>
    <w:p>
      <w:r>
        <w:rPr>
          <w:b/>
        </w:rPr>
        <w:t xml:space="preserve">1. </w:t>
      </w:r>
      <w:r>
        <w:t>Identify the alarm in the Alarm Management panel (right side).</w:t>
      </w:r>
    </w:p>
    <w:p>
      <w:r>
        <w:rPr>
          <w:b/>
        </w:rPr>
        <w:t xml:space="preserve">2. </w:t>
      </w:r>
      <w:r>
        <w:t>Acknowledge the alarm by clicking on it.</w:t>
      </w:r>
    </w:p>
    <w:p>
      <w:r>
        <w:rPr>
          <w:b/>
        </w:rPr>
        <w:t xml:space="preserve">3. </w:t>
      </w:r>
      <w:r>
        <w:t>Assess the severity: WARNING (amber) requires monitoring; ALARM (red) requires immediate action.</w:t>
      </w:r>
    </w:p>
    <w:p>
      <w:r>
        <w:rPr>
          <w:b/>
        </w:rPr>
        <w:t xml:space="preserve">4. </w:t>
      </w:r>
      <w:r>
        <w:t>If Emergency Shutdown (ESD) is required, press the ESD button.</w:t>
      </w:r>
    </w:p>
    <w:p>
      <w:r>
        <w:rPr>
          <w:b/>
        </w:rPr>
        <w:t xml:space="preserve">5. </w:t>
      </w:r>
      <w:r>
        <w:t>Follow the scenario checklist for step-by-step response.</w:t>
      </w:r>
    </w:p>
    <w:p>
      <w:r>
        <w:rPr>
          <w:b/>
        </w:rPr>
        <w:t xml:space="preserve">6. </w:t>
      </w:r>
      <w:r>
        <w:t>After resolving the condition, use the RESET button to restore normal operations.</w:t>
      </w:r>
    </w:p>
    <w:p>
      <w:pPr>
        <w:pStyle w:val="Heading1"/>
      </w:pPr>
      <w:r>
        <w:t>7. Reference Documentation</w:t>
      </w:r>
    </w:p>
    <w:p>
      <w:pPr>
        <w:pStyle w:val="Heading2"/>
      </w:pPr>
      <w:r>
        <w:t>reference</w:t>
      </w:r>
    </w:p>
    <w:p>
      <w:pPr>
        <w:pStyle w:val="Heading2"/>
      </w:pPr>
      <w:r>
        <w:t>Shore Power / Cold Ironing — Technical Reference</w:t>
      </w:r>
    </w:p>
    <w:p>
      <w:pPr>
        <w:pStyle w:val="Heading3"/>
      </w:pPr>
      <w:r>
        <w:t>Overview</w:t>
      </w:r>
    </w:p>
    <w:p>
      <w:r>
        <w:t>Cold ironing (also known as Alternative Maritime Power or AMP) allows a ship to shut down its diesel generators while in port and connect to the shore's electrical supply. This eliminates air pollution (NOx, SOx, PM) and reduces CO2 emissions in port areas, increasingly required by environmental regulations.</w:t>
      </w:r>
    </w:p>
    <w:p>
      <w:pPr>
        <w:pStyle w:val="Heading3"/>
      </w:pPr>
      <w:r>
        <w:t>Regulatory Basis</w:t>
      </w:r>
    </w:p>
    <w:p>
      <w:pPr>
        <w:pStyle w:val="ListBullet"/>
        <w:spacing w:after="40"/>
      </w:pPr>
      <w:r>
        <w:t>**IEC/ISO/IEEE 80005-1:2019** — Utility connections in port — High Voltage Shore Connection (HVSC) for ships</w:t>
      </w:r>
    </w:p>
    <w:p>
      <w:pPr>
        <w:pStyle w:val="ListBullet"/>
        <w:spacing w:after="40"/>
      </w:pPr>
      <w:r>
        <w:t>**IEC/ISO/IEEE 80005-3** — Low Voltage Shore Connection (LVSC) for ships</w:t>
      </w:r>
    </w:p>
    <w:p>
      <w:pPr>
        <w:pStyle w:val="ListBullet"/>
        <w:spacing w:after="40"/>
      </w:pPr>
      <w:r>
        <w:t>**SOLAS II-1/Reg.41-46** — Electrical installations</w:t>
      </w:r>
    </w:p>
    <w:p>
      <w:pPr>
        <w:pStyle w:val="ListBullet"/>
        <w:spacing w:after="40"/>
      </w:pPr>
      <w:r>
        <w:t>**EU Directive 2014/94/EU** — Alternative fuels infrastructure (AFID)</w:t>
      </w:r>
    </w:p>
    <w:p>
      <w:pPr>
        <w:pStyle w:val="ListBullet"/>
        <w:spacing w:after="40"/>
      </w:pPr>
      <w:r>
        <w:t>**EU ETS (Emissions Trading System)** — Port emissions counting from 2024</w:t>
      </w:r>
    </w:p>
    <w:p>
      <w:pPr>
        <w:pStyle w:val="ListBullet"/>
        <w:spacing w:after="40"/>
      </w:pPr>
      <w:r>
        <w:t>**California ATDM Regulation** — Shore power mandate for ports of Los Angeles/Long Beach</w:t>
      </w:r>
    </w:p>
    <w:p>
      <w:pPr>
        <w:pStyle w:val="ListBullet"/>
        <w:spacing w:after="40"/>
      </w:pPr>
      <w:r>
        <w:t>**Paris MOU / Tokyo MOU** — PSC inspection requirements</w:t>
      </w:r>
    </w:p>
    <w:p>
      <w:pPr>
        <w:pStyle w:val="Heading3"/>
      </w:pPr>
      <w:r>
        <w:t>Shore Power Connection Types</w:t>
      </w:r>
    </w:p>
    <w:p>
      <w:pPr>
        <w:pStyle w:val="Heading4"/>
      </w:pPr>
      <w:r>
        <w:t>High Voltage Shore Connection (HVSC)</w:t>
      </w:r>
    </w:p>
    <w:p>
      <w:pPr>
        <w:pStyle w:val="ListBullet"/>
        <w:spacing w:after="40"/>
      </w:pPr>
      <w:r>
        <w:t>Shore supply: **6.6 kV or 11 kV** (typically 3-phase)</w:t>
      </w:r>
    </w:p>
    <w:p>
      <w:pPr>
        <w:pStyle w:val="ListBullet"/>
        <w:spacing w:after="40"/>
      </w:pPr>
      <w:r>
        <w:t>Ship receives via step-down transformer to ship's system voltage (440V or 6.6kV)</w:t>
      </w:r>
    </w:p>
    <w:p>
      <w:pPr>
        <w:pStyle w:val="ListBullet"/>
        <w:spacing w:after="40"/>
      </w:pPr>
      <w:r>
        <w:t>Maximum power: typically 3–20 MW depending on vessel type</w:t>
      </w:r>
    </w:p>
    <w:p>
      <w:pPr>
        <w:pStyle w:val="ListBullet"/>
        <w:spacing w:after="40"/>
      </w:pPr>
      <w:r>
        <w:t>Standard: IEC 80005-1 cable connection system (standardised 3-phase HV plug)</w:t>
      </w:r>
    </w:p>
    <w:p>
      <w:pPr>
        <w:pStyle w:val="Heading4"/>
      </w:pPr>
      <w:r>
        <w:t>Low Voltage Shore Connection (LVSC)</w:t>
      </w:r>
    </w:p>
    <w:p>
      <w:pPr>
        <w:pStyle w:val="ListBullet"/>
        <w:spacing w:after="40"/>
      </w:pPr>
      <w:r>
        <w:t>Shore supply: 440V or 690V directly</w:t>
      </w:r>
    </w:p>
    <w:p>
      <w:pPr>
        <w:pStyle w:val="ListBullet"/>
        <w:spacing w:after="40"/>
      </w:pPr>
      <w:r>
        <w:t>For smaller vessels (ferries, tugs, small cargo)</w:t>
      </w:r>
    </w:p>
    <w:p>
      <w:pPr>
        <w:pStyle w:val="ListBullet"/>
        <w:spacing w:after="40"/>
      </w:pPr>
      <w:r>
        <w:t>Standard: IEC 80005-3</w:t>
      </w:r>
    </w:p>
    <w:p>
      <w:pPr>
        <w:pStyle w:val="Heading3"/>
      </w:pPr>
      <w:r>
        <w:t>Frequency Conversion</w:t>
      </w:r>
    </w:p>
    <w:p>
      <w:r>
        <w:t>Ships may operate at different frequencies from shore supply:</w:t>
      </w:r>
    </w:p>
    <w:p>
      <w:r>
        <w:t>| Region | Shore Frequency | Ship System | Solution |</w:t>
      </w:r>
    </w:p>
    <w:p>
      <w:r>
        <w:t>|--------|----------------|-------------|---------|</w:t>
      </w:r>
    </w:p>
    <w:p>
      <w:r>
        <w:t>| USA, Japan | 60 Hz | 60 Hz | Direct connection (if voltage matches) |</w:t>
      </w:r>
    </w:p>
    <w:p>
      <w:r>
        <w:t>| Europe | 50 Hz | 60 Hz | Frequency converter required |</w:t>
      </w:r>
    </w:p>
    <w:p>
      <w:r>
        <w:t>| Europe | 50 Hz | 50 Hz | Direct (if voltage matches) |</w:t>
      </w:r>
    </w:p>
    <w:p>
      <w:r>
        <w:t>Frequency Converter: Static converter (IGBT-based) converts 50Hz→60Hz or vice versa. Also allows full voltage adjustment regardless of shore supply variations.</w:t>
      </w:r>
    </w:p>
    <w:p>
      <w:pPr>
        <w:pStyle w:val="Heading3"/>
      </w:pPr>
      <w:r>
        <w:t>Connection Procedure</w:t>
      </w:r>
    </w:p>
    <w:p>
      <w:pPr>
        <w:pStyle w:val="Heading4"/>
      </w:pPr>
      <w:r>
        <w:t>Pre-Connection Checks</w:t>
      </w:r>
    </w:p>
    <w:p>
      <w:r>
        <w:t>1. Request shore power parameters from port authority</w:t>
      </w:r>
    </w:p>
    <w:p>
      <w:r>
        <w:t>2. Verify shore voltage and frequency available</w:t>
      </w:r>
    </w:p>
    <w:p>
      <w:r>
        <w:t>3. Check shore cable rating vs ship demand</w:t>
      </w:r>
    </w:p>
    <w:p>
      <w:r>
        <w:t>4. Confirm cable length sufficient</w:t>
      </w:r>
    </w:p>
    <w:p>
      <w:pPr>
        <w:pStyle w:val="Heading4"/>
      </w:pPr>
      <w:r>
        <w:t>HVSC Connection Steps</w:t>
      </w:r>
    </w:p>
    <w:p>
      <w:r>
        <w:t>1. Earthing: Connect shore earth cable to ship's hull (before HV connection)</w:t>
      </w:r>
    </w:p>
    <w:p>
      <w:r>
        <w:t>2. Cable connection: Connect HVSC cable to shore socket (with ship shut down if practicable)</w:t>
      </w:r>
    </w:p>
    <w:p>
      <w:r>
        <w:t>3. Voltage check: Verify shore voltage within ±10% of nominal</w:t>
      </w:r>
    </w:p>
    <w:p>
      <w:r>
        <w:t>4. Frequency check: Verify frequency within ±2Hz (or enable frequency converter)</w:t>
      </w:r>
    </w:p>
    <w:p>
      <w:r>
        <w:t>5. Phase check: Verify phase sequence matches ship's system</w:t>
      </w:r>
    </w:p>
    <w:p>
      <w:r>
        <w:t>6. Synchronisation: (if ship generators still running) Match shore to bus, close CB</w:t>
      </w:r>
    </w:p>
    <w:p>
      <w:r>
        <w:t>7. Transfer: Gradually unload ship generators, transfer to shore power</w:t>
      </w:r>
    </w:p>
    <w:p>
      <w:r>
        <w:t>8. DG shutdown: Stop all diesel generators once shore power is confirmed stable</w:t>
      </w:r>
    </w:p>
    <w:p>
      <w:pPr>
        <w:pStyle w:val="Heading4"/>
      </w:pPr>
      <w:r>
        <w:t>Disconnection (Departure)</w:t>
      </w:r>
    </w:p>
    <w:p>
      <w:r>
        <w:t>1. Start diesel generator(s)</w:t>
      </w:r>
    </w:p>
    <w:p>
      <w:r>
        <w:t>2. Synchronise DG to bus (with shore power)</w:t>
      </w:r>
    </w:p>
    <w:p>
      <w:r>
        <w:t>3. Gradually transfer load back to DG</w:t>
      </w:r>
    </w:p>
    <w:p>
      <w:r>
        <w:t>4. Open shore power breaker (shore side first if possible)</w:t>
      </w:r>
    </w:p>
    <w:p>
      <w:r>
        <w:t>5. Disconnect and stow shore cable</w:t>
      </w:r>
    </w:p>
    <w:p>
      <w:r>
        <w:t>6. Remove earth connection last</w:t>
      </w:r>
    </w:p>
    <w:p>
      <w:pPr>
        <w:pStyle w:val="Heading3"/>
      </w:pPr>
      <w:r>
        <w:t>Environmental Performance</w:t>
      </w:r>
    </w:p>
    <w:p>
      <w:pPr>
        <w:pStyle w:val="Heading4"/>
      </w:pPr>
      <w:r>
        <w:t>CO2 Savings</w:t>
      </w:r>
    </w:p>
    <w:p>
      <w:r>
        <w:t>Typical port diesel generator: 650 g CO2/kWh</w:t>
      </w:r>
    </w:p>
    <w:p>
      <w:r>
        <w:t>Shore power from grid: 200–350 g CO2/kWh (depends on grid mix)</w:t>
      </w:r>
    </w:p>
    <w:p>
      <w:r>
        <w:t>Saving: 300–450 g CO2/kWh consumed</w:t>
      </w:r>
    </w:p>
    <w:p>
      <w:r>
        <w:t>Example: Container ship, 2 MW hotel load, 12 hours at berth:</w:t>
      </w:r>
    </w:p>
    <w:p>
      <w:pPr>
        <w:pStyle w:val="ListBullet"/>
        <w:spacing w:after="40"/>
      </w:pPr>
      <w:r>
        <w:t>DG operation: 2000 kW × 12h × 0.65 kg/kWh = **15,600 kg CO2**</w:t>
      </w:r>
    </w:p>
    <w:p>
      <w:pPr>
        <w:pStyle w:val="ListBullet"/>
        <w:spacing w:after="40"/>
      </w:pPr>
      <w:r>
        <w:t>Shore power: 2000 kW × 12h × 0.25 kg/kWh = **6,000 kg CO2**</w:t>
      </w:r>
    </w:p>
    <w:p>
      <w:pPr>
        <w:pStyle w:val="ListBullet"/>
        <w:spacing w:after="40"/>
      </w:pPr>
      <w:r>
        <w:t>**Saving: 9,600 kg CO2 per port call**</w:t>
      </w:r>
    </w:p>
    <w:p>
      <w:pPr>
        <w:pStyle w:val="Heading4"/>
      </w:pPr>
      <w:r>
        <w:t>NOx / SOx Elimination</w:t>
      </w:r>
    </w:p>
    <w:p>
      <w:r>
        <w:t>When on shore power, engine exhaust emissions in port are zero — major benefit in ECAs and dense urban port areas.</w:t>
      </w:r>
    </w:p>
    <w:p>
      <w:pPr>
        <w:pStyle w:val="Heading3"/>
      </w:pPr>
      <w:r>
        <w:t>Alarms and Protections</w:t>
      </w:r>
    </w:p>
    <w:p>
      <w:r>
        <w:t>| Alarm | Condition | Action |</w:t>
      </w:r>
    </w:p>
    <w:p>
      <w:r>
        <w:t>|-------|-----------|--------|</w:t>
      </w:r>
    </w:p>
    <w:p>
      <w:r>
        <w:t>| Voltage mismatch | ΔV &gt; 10% | Inhibit breaker close |</w:t>
      </w:r>
    </w:p>
    <w:p>
      <w:r>
        <w:t>| Frequency mismatch | ΔF &gt; 2 Hz | Enable frequency converter |</w:t>
      </w:r>
    </w:p>
    <w:p>
      <w:r>
        <w:t>| Phase reversal | Phase sequence incorrect | Emergency stop |</w:t>
      </w:r>
    </w:p>
    <w:p>
      <w:r>
        <w:t>| Earth fault on cable | Insulation failure | Disconnect immediately |</w:t>
      </w:r>
    </w:p>
    <w:p>
      <w:r>
        <w:t>| Overload | &gt; 110% rated current | Trip shore breaker |</w:t>
      </w:r>
    </w:p>
    <w:p>
      <w:r>
        <w:t>| Reverse power | DG feeding shore | Trip DG breaker |</w:t>
      </w:r>
    </w:p>
    <w:p>
      <w:pPr>
        <w:pStyle w:val="Heading3"/>
      </w:pPr>
      <w:r>
        <w:t>Tap Changer</w:t>
      </w:r>
    </w:p>
    <w:p>
      <w:r>
        <w:t>Transformer on-board has tap positions to fine-tune voltage:</w:t>
      </w:r>
    </w:p>
    <w:p>
      <w:pPr>
        <w:pStyle w:val="ListBullet"/>
        <w:spacing w:after="40"/>
      </w:pPr>
      <w:r>
        <w:t>±2.5% per tap, typically 5 taps</w:t>
      </w:r>
    </w:p>
    <w:p>
      <w:pPr>
        <w:pStyle w:val="ListBullet"/>
        <w:spacing w:after="40"/>
      </w:pPr>
      <w:r>
        <w:t>Adjusts to match shore supply variations</w:t>
      </w:r>
    </w:p>
    <w:p>
      <w:pPr>
        <w:pStyle w:val="ListBullet"/>
        <w:spacing w:after="40"/>
      </w:pPr>
      <w:r>
        <w:t>Must be operated with transformer de-energised (off-circuit tap changer) or automatically via OLTC</w:t>
      </w:r>
    </w:p>
    <w:p>
      <w:pPr>
        <w:pStyle w:val="Heading1"/>
      </w:pPr>
      <w:r>
        <w:t>8. Trainee Assessment Checklist</w:t>
      </w:r>
    </w:p>
    <w:p>
      <w:r>
        <w:t>The instructor should verify the trainee can:</w:t>
      </w:r>
    </w:p>
    <w:p>
      <w:pPr>
        <w:pStyle w:val="ListBullet"/>
      </w:pPr>
      <w:r>
        <w:t>Identify all panels and their functions.</w:t>
      </w:r>
    </w:p>
    <w:p>
      <w:pPr>
        <w:pStyle w:val="ListBullet"/>
      </w:pPr>
      <w:r>
        <w:t>Read and interpret gauge values and colour codes.</w:t>
      </w:r>
    </w:p>
    <w:p>
      <w:pPr>
        <w:pStyle w:val="ListBullet"/>
      </w:pPr>
      <w:r>
        <w:t>Operate valve controls correctly.</w:t>
      </w:r>
    </w:p>
    <w:p>
      <w:pPr>
        <w:pStyle w:val="ListBullet"/>
      </w:pPr>
      <w:r>
        <w:t>Acknowledge and respond to alarms within appropriate time.</w:t>
      </w:r>
    </w:p>
    <w:p>
      <w:pPr>
        <w:pStyle w:val="ListBullet"/>
      </w:pPr>
      <w:r>
        <w:t>Execute the Emergency Shutdown procedure.</w:t>
      </w:r>
    </w:p>
    <w:p>
      <w:pPr>
        <w:pStyle w:val="ListBullet"/>
      </w:pPr>
      <w:r>
        <w:t>Complete at least two training scenarios with all checklist items done.</w:t>
      </w:r>
    </w:p>
    <w:p>
      <w:pPr>
        <w:pStyle w:val="ListBullet"/>
      </w:pPr>
      <w:r>
        <w:t>Explain the regulatory basis for the system (where applicable).</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Assessment Item</w:t>
            </w:r>
          </w:p>
        </w:tc>
        <w:tc>
          <w:tcPr>
            <w:tcW w:type="dxa" w:w="2880"/>
          </w:tcPr>
          <w:p>
            <w:r>
              <w:rPr>
                <w:b/>
              </w:rPr>
              <w:t>Result (Pass/Fail)</w:t>
            </w:r>
          </w:p>
        </w:tc>
        <w:tc>
          <w:tcPr>
            <w:tcW w:type="dxa" w:w="2880"/>
          </w:tcPr>
          <w:p>
            <w:r>
              <w:rPr>
                <w:b/>
              </w:rPr>
              <w:t>Remarks</w:t>
            </w:r>
          </w:p>
        </w:tc>
      </w:tr>
      <w:tr>
        <w:tc>
          <w:tcPr>
            <w:tcW w:type="dxa" w:w="2880"/>
          </w:tcPr>
          <w:p>
            <w:r>
              <w:t>Scenario Completion</w:t>
            </w:r>
          </w:p>
        </w:tc>
        <w:tc>
          <w:tcPr>
            <w:tcW w:type="dxa" w:w="2880"/>
          </w:tcPr>
          <w:p/>
        </w:tc>
        <w:tc>
          <w:tcPr>
            <w:tcW w:type="dxa" w:w="2880"/>
          </w:tcPr>
          <w:p/>
        </w:tc>
      </w:tr>
      <w:tr>
        <w:tc>
          <w:tcPr>
            <w:tcW w:type="dxa" w:w="2880"/>
          </w:tcPr>
          <w:p>
            <w:r>
              <w:t>Alarm Response</w:t>
            </w:r>
          </w:p>
        </w:tc>
        <w:tc>
          <w:tcPr>
            <w:tcW w:type="dxa" w:w="2880"/>
          </w:tcPr>
          <w:p/>
        </w:tc>
        <w:tc>
          <w:tcPr>
            <w:tcW w:type="dxa" w:w="2880"/>
          </w:tcPr>
          <w:p/>
        </w:tc>
      </w:tr>
      <w:tr>
        <w:tc>
          <w:tcPr>
            <w:tcW w:type="dxa" w:w="2880"/>
          </w:tcPr>
          <w:p>
            <w:r>
              <w:t>Emergency Procedure</w:t>
            </w:r>
          </w:p>
        </w:tc>
        <w:tc>
          <w:tcPr>
            <w:tcW w:type="dxa" w:w="2880"/>
          </w:tcPr>
          <w:p/>
        </w:tc>
        <w:tc>
          <w:tcPr>
            <w:tcW w:type="dxa" w:w="2880"/>
          </w:tcPr>
          <w:p/>
        </w:tc>
      </w:tr>
    </w:tbl>
    <w:p/>
    <w:p>
      <w:pPr>
        <w:jc w:val="center"/>
      </w:pPr>
      <w:r>
        <w:rPr>
          <w:color w:val="969696"/>
          <w:sz w:val="16"/>
        </w:rPr>
        <w:t>Generated by BlueSim Training Guide System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80"/>
    </w:pPr>
    <w:rPr>
      <w:rFonts w:ascii="Calibri" w:hAnsi="Calibri"/>
      <w:sz w:val="1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